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651276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0237A3">
        <w:t>4</w:t>
      </w:r>
      <w:r w:rsidR="00D5130F">
        <w:t>bis</w:t>
      </w:r>
      <w:r w:rsidR="0083546B">
        <w:t>-e</w:t>
      </w:r>
      <w:r w:rsidRPr="00CE0424">
        <w:tab/>
      </w:r>
      <w:proofErr w:type="spellStart"/>
      <w:r w:rsidRPr="00CE0424">
        <w:rPr>
          <w:sz w:val="32"/>
          <w:szCs w:val="32"/>
        </w:rPr>
        <w:t>Tdoc</w:t>
      </w:r>
      <w:proofErr w:type="spellEnd"/>
      <w:r w:rsidRPr="00CE0424">
        <w:rPr>
          <w:sz w:val="32"/>
          <w:szCs w:val="32"/>
        </w:rPr>
        <w:t xml:space="preserve"> </w:t>
      </w:r>
      <w:r w:rsidR="00091557" w:rsidRPr="00F67556">
        <w:rPr>
          <w:sz w:val="32"/>
          <w:szCs w:val="32"/>
        </w:rPr>
        <w:t>R</w:t>
      </w:r>
      <w:r w:rsidR="008F1C4E" w:rsidRPr="00F67556">
        <w:rPr>
          <w:sz w:val="32"/>
          <w:szCs w:val="32"/>
        </w:rPr>
        <w:t>1</w:t>
      </w:r>
      <w:r w:rsidR="00091557" w:rsidRPr="00F67556">
        <w:rPr>
          <w:sz w:val="32"/>
          <w:szCs w:val="32"/>
        </w:rPr>
        <w:t>-</w:t>
      </w:r>
      <w:r w:rsidR="000237A3" w:rsidRPr="00F67556">
        <w:rPr>
          <w:sz w:val="32"/>
          <w:szCs w:val="32"/>
        </w:rPr>
        <w:t>21</w:t>
      </w:r>
      <w:r w:rsidR="00F67556" w:rsidRPr="00F67556">
        <w:rPr>
          <w:sz w:val="32"/>
          <w:szCs w:val="32"/>
        </w:rPr>
        <w:t>02788</w:t>
      </w:r>
    </w:p>
    <w:p w14:paraId="0CE7B7E6" w14:textId="3B7C683D" w:rsidR="00E90E49" w:rsidRPr="00CE0424" w:rsidRDefault="00D5130F" w:rsidP="00311702">
      <w:pPr>
        <w:pStyle w:val="3GPPHeader"/>
      </w:pPr>
      <w:r>
        <w:t>e-Meeting</w:t>
      </w:r>
      <w:r w:rsidR="0083546B">
        <w:t xml:space="preserve">, </w:t>
      </w:r>
      <w:r>
        <w:t>12</w:t>
      </w:r>
      <w:r w:rsidR="0083546B" w:rsidRPr="0083546B">
        <w:rPr>
          <w:vertAlign w:val="superscript"/>
        </w:rPr>
        <w:t>th</w:t>
      </w:r>
      <w:r w:rsidR="0083546B">
        <w:t xml:space="preserve"> </w:t>
      </w:r>
      <w:r>
        <w:t>– 20</w:t>
      </w:r>
      <w:r w:rsidRPr="00D5130F">
        <w:rPr>
          <w:vertAlign w:val="superscript"/>
        </w:rPr>
        <w:t>th</w:t>
      </w:r>
      <w:r>
        <w:t xml:space="preserve"> </w:t>
      </w:r>
      <w:proofErr w:type="gramStart"/>
      <w:r>
        <w:t>April,</w:t>
      </w:r>
      <w:proofErr w:type="gramEnd"/>
      <w:r>
        <w:t xml:space="preserve"> </w:t>
      </w:r>
      <w:r w:rsidR="0083546B">
        <w:t>202</w:t>
      </w:r>
      <w:r w:rsidR="002E45A0">
        <w:t>1</w:t>
      </w:r>
    </w:p>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57E8228D" w14:textId="23EE37BA" w:rsidR="00C45E91" w:rsidRPr="0042572A" w:rsidRDefault="00C45E91" w:rsidP="00DC4504">
      <w:r>
        <w:rPr>
          <w:lang w:val="en-GB" w:eastAsia="ja-JP"/>
        </w:rPr>
        <w:t xml:space="preserve">In the </w:t>
      </w:r>
      <w:r w:rsidR="00201126">
        <w:rPr>
          <w:lang w:val="en-GB" w:eastAsia="ja-JP"/>
        </w:rPr>
        <w:t>revised</w:t>
      </w:r>
      <w:r>
        <w:rPr>
          <w:lang w:val="en-GB" w:eastAsia="ja-JP"/>
        </w:rPr>
        <w:t xml:space="preserve"> WID </w:t>
      </w:r>
      <w:r>
        <w:rPr>
          <w:lang w:val="en-GB" w:eastAsia="ja-JP"/>
        </w:rPr>
        <w:fldChar w:fldCharType="begin"/>
      </w:r>
      <w:r>
        <w:rPr>
          <w:lang w:val="en-GB" w:eastAsia="ja-JP"/>
        </w:rPr>
        <w:instrText xml:space="preserve"> REF _Ref60753713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w:t>
      </w:r>
      <w:r w:rsidR="00201126">
        <w:rPr>
          <w:lang w:val="en-GB" w:eastAsia="ja-JP"/>
        </w:rPr>
        <w:t>approved in RAN#90</w:t>
      </w:r>
      <w:r>
        <w:rPr>
          <w:lang w:val="en-GB" w:eastAsia="ja-JP"/>
        </w:rPr>
        <w:t xml:space="preserve"> on Extending current NR operation to 71 GHz, the following objective</w:t>
      </w:r>
      <w:r w:rsidR="00713630">
        <w:rPr>
          <w:lang w:val="en-GB" w:eastAsia="ja-JP"/>
        </w:rPr>
        <w:t>s</w:t>
      </w:r>
      <w:r>
        <w:rPr>
          <w:lang w:val="en-GB" w:eastAsia="ja-JP"/>
        </w:rPr>
        <w:t xml:space="preserve"> related to initial access are included:</w:t>
      </w:r>
    </w:p>
    <w:p w14:paraId="4AE5618B" w14:textId="74451AD9" w:rsidR="00F860BD"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rPr>
          <w:lang w:eastAsia="ja-JP"/>
        </w:rPr>
        <w:t>Support of up to 64 SSB beams for licensed and unlicensed operation in this frequency range.</w:t>
      </w:r>
    </w:p>
    <w:p w14:paraId="302E7F16"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lang w:eastAsia="ja-JP"/>
        </w:rPr>
      </w:pPr>
    </w:p>
    <w:p w14:paraId="5CDBDD2C" w14:textId="77777777" w:rsidR="00F860BD" w:rsidRPr="00DC4504"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t>Supports 120kHz SCS for SSB and 120kHz SCS for initial access related signals/channels in an</w:t>
      </w:r>
      <w:r w:rsidRPr="00DC4504">
        <w:rPr>
          <w:color w:val="FF0000"/>
        </w:rPr>
        <w:t xml:space="preserve"> </w:t>
      </w:r>
      <w:r w:rsidRPr="00DC4504">
        <w:t>initial BWP.</w:t>
      </w:r>
    </w:p>
    <w:p w14:paraId="79C0CC5A" w14:textId="7BF8F270"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(240kHz, 480kHz, 960kHz) for SSB, and additional SCS</w:t>
      </w:r>
      <w:r w:rsidR="00B95BBF">
        <w:t xml:space="preserve"> </w:t>
      </w:r>
      <w:r w:rsidRPr="00DC4504">
        <w:t>(480kHz, 960kHz) for initial access related signals/channels in initial BWP.</w:t>
      </w:r>
    </w:p>
    <w:p w14:paraId="746CA40F"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(480kHz, 960kHz) for SSB for cases other than initial access.</w:t>
      </w:r>
    </w:p>
    <w:p w14:paraId="06DECDF6"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Note: coverage enhancement for SSB is not pursued.</w:t>
      </w:r>
    </w:p>
    <w:p w14:paraId="3F108782"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rFonts w:eastAsia="DengXian"/>
          <w:szCs w:val="20"/>
          <w:lang w:eastAsia="ko-KR"/>
        </w:rPr>
      </w:pPr>
    </w:p>
    <w:p w14:paraId="22BC67B9" w14:textId="647D897E" w:rsidR="00C45E91" w:rsidRPr="00DC4504" w:rsidRDefault="00C45E91" w:rsidP="00F860BD">
      <w:pPr>
        <w:pStyle w:val="B1"/>
        <w:numPr>
          <w:ilvl w:val="1"/>
          <w:numId w:val="23"/>
        </w:numPr>
        <w:overflowPunct w:val="0"/>
        <w:autoSpaceDE w:val="0"/>
        <w:autoSpaceDN w:val="0"/>
        <w:adjustRightInd w:val="0"/>
        <w:spacing w:after="0" w:line="240" w:lineRule="auto"/>
        <w:jc w:val="left"/>
        <w:textAlignment w:val="baseline"/>
        <w:rPr>
          <w:rFonts w:eastAsia="DengXian"/>
          <w:szCs w:val="20"/>
          <w:lang w:eastAsia="ko-KR"/>
        </w:rPr>
      </w:pPr>
      <w:r w:rsidRPr="00DC4504">
        <w:rPr>
          <w:szCs w:val="20"/>
          <w:lang w:eastAsia="ko-KR"/>
        </w:rPr>
        <w:t>Specify support for PRACH sequence lengths (i.e. L=139, L=571 and L=1151) and study, if needed, specify support for RO configuration for non-consecutive RACH occasions (RO) in time domain for operation in shared spectrum</w:t>
      </w:r>
      <w:r w:rsidRPr="00DC4504">
        <w:rPr>
          <w:rFonts w:eastAsia="DengXian"/>
          <w:szCs w:val="20"/>
          <w:lang w:eastAsia="ko-KR"/>
        </w:rPr>
        <w:t xml:space="preserve"> </w:t>
      </w:r>
    </w:p>
    <w:p w14:paraId="029E4E99" w14:textId="77777777" w:rsidR="00C45E91" w:rsidRPr="00DC4504" w:rsidRDefault="00C45E91" w:rsidP="00DC4504">
      <w:pPr>
        <w:pStyle w:val="B1"/>
        <w:overflowPunct w:val="0"/>
        <w:autoSpaceDE w:val="0"/>
        <w:autoSpaceDN w:val="0"/>
        <w:adjustRightInd w:val="0"/>
        <w:spacing w:after="0" w:line="240" w:lineRule="auto"/>
        <w:ind w:left="0" w:firstLine="0"/>
        <w:jc w:val="left"/>
        <w:textAlignment w:val="baseline"/>
        <w:rPr>
          <w:rFonts w:eastAsia="DengXian"/>
          <w:szCs w:val="20"/>
          <w:highlight w:val="yellow"/>
          <w:lang w:eastAsia="ko-KR"/>
        </w:rPr>
      </w:pPr>
    </w:p>
    <w:p w14:paraId="2C90093F" w14:textId="3176E0E0" w:rsidR="00F860BD" w:rsidRDefault="00C45E91" w:rsidP="00F860BD">
      <w:pPr>
        <w:spacing w:after="0"/>
        <w:rPr>
          <w:rFonts w:eastAsia="Calibri" w:cs="Arial"/>
          <w:color w:val="000000" w:themeColor="text1"/>
        </w:rPr>
      </w:pPr>
      <w:r w:rsidRPr="00DC4504">
        <w:rPr>
          <w:rFonts w:eastAsia="Calibri" w:cs="Arial"/>
          <w:color w:val="000000" w:themeColor="text1"/>
        </w:rPr>
        <w:t xml:space="preserve">In this contribution, </w:t>
      </w:r>
      <w:r>
        <w:rPr>
          <w:rFonts w:eastAsia="Calibri" w:cs="Arial"/>
          <w:color w:val="000000" w:themeColor="text1"/>
        </w:rPr>
        <w:t>the</w:t>
      </w:r>
      <w:r w:rsidR="007A3B89">
        <w:rPr>
          <w:rFonts w:eastAsia="Calibri" w:cs="Arial"/>
          <w:color w:val="000000" w:themeColor="text1"/>
        </w:rPr>
        <w:t>se</w:t>
      </w:r>
      <w:r>
        <w:rPr>
          <w:rFonts w:eastAsia="Calibri" w:cs="Arial"/>
          <w:color w:val="000000" w:themeColor="text1"/>
        </w:rPr>
        <w:t xml:space="preserve"> aspects will be discussed, SS/PBCH block related aspects in Section 2.1 and RACH related aspects in Section 2.2.</w:t>
      </w:r>
    </w:p>
    <w:p w14:paraId="40E11063" w14:textId="77777777" w:rsidR="00C45E91" w:rsidRPr="005E0AB8" w:rsidRDefault="00C45E91" w:rsidP="00F860BD">
      <w:pPr>
        <w:spacing w:after="0"/>
        <w:rPr>
          <w:rFonts w:eastAsia="Calibri" w:cs="Arial"/>
          <w:color w:val="0070C0"/>
        </w:rPr>
      </w:pPr>
    </w:p>
    <w:p w14:paraId="60123794" w14:textId="05A43A89" w:rsidR="004000E8" w:rsidRDefault="00230D18" w:rsidP="00CE0424">
      <w:pPr>
        <w:pStyle w:val="Heading1"/>
      </w:pPr>
      <w:bookmarkStart w:id="0" w:name="_Ref178064866"/>
      <w:r>
        <w:t>2</w:t>
      </w:r>
      <w:r>
        <w:tab/>
      </w:r>
      <w:r w:rsidR="004000E8" w:rsidRPr="00CE0424">
        <w:t>Discussion</w:t>
      </w:r>
      <w:bookmarkEnd w:id="0"/>
    </w:p>
    <w:p w14:paraId="36B685DB" w14:textId="6012DBE1" w:rsidR="00446426" w:rsidRDefault="00446426" w:rsidP="000A5ED3">
      <w:pPr>
        <w:jc w:val="both"/>
      </w:pPr>
      <w:r>
        <w:t xml:space="preserve">In TR 38.808 </w:t>
      </w:r>
      <w:r w:rsidR="00A17C49">
        <w:fldChar w:fldCharType="begin"/>
      </w:r>
      <w:r w:rsidR="00A17C49">
        <w:instrText xml:space="preserve"> REF _Ref61360516 \r \h </w:instrText>
      </w:r>
      <w:r w:rsidR="000A5ED3">
        <w:instrText xml:space="preserve"> \* MERGEFORMAT </w:instrText>
      </w:r>
      <w:r w:rsidR="00A17C49">
        <w:fldChar w:fldCharType="separate"/>
      </w:r>
      <w:r w:rsidR="00A17C49">
        <w:t>[6]</w:t>
      </w:r>
      <w:r w:rsidR="00A17C49">
        <w:fldChar w:fldCharType="end"/>
      </w:r>
      <w:r>
        <w:t xml:space="preserve"> it is stated “</w:t>
      </w:r>
      <w:r w:rsidRPr="009476C7">
        <w:t>It is observed that for a single carrier with the same number of transmitted symbols, in general, smaller subcarrier spacing may potentially provide larger coverage due to use of smaller bandwidth and gears towards (but not limited to) coverage driven scenarios.</w:t>
      </w:r>
      <w:r>
        <w:t>”</w:t>
      </w:r>
    </w:p>
    <w:p w14:paraId="12A7E3CC" w14:textId="77777777" w:rsidR="003D051F" w:rsidRDefault="003D051F" w:rsidP="003D051F">
      <w:pPr>
        <w:rPr>
          <w:noProof/>
        </w:rPr>
      </w:pPr>
      <w:r>
        <w:rPr>
          <w:noProof/>
        </w:rPr>
        <w:lastRenderedPageBreak/>
        <w:drawing>
          <wp:inline distT="0" distB="0" distL="0" distR="0" wp14:anchorId="5C450F5E" wp14:editId="606B7D36">
            <wp:extent cx="2972435" cy="1982470"/>
            <wp:effectExtent l="0" t="0" r="0" b="0"/>
            <wp:docPr id="1646987622" name="Picture 1646987622"/>
            <wp:cNvGraphicFramePr/>
            <a:graphic xmlns:a="http://schemas.openxmlformats.org/drawingml/2006/main">
              <a:graphicData uri="http://schemas.openxmlformats.org/drawingml/2006/picture">
                <pic:pic xmlns:pic="http://schemas.openxmlformats.org/drawingml/2006/picture">
                  <pic:nvPicPr>
                    <pic:cNvPr id="1646987622" name="Picture 1646987622"/>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972435" cy="1982470"/>
                    </a:xfrm>
                    <a:prstGeom prst="rect">
                      <a:avLst/>
                    </a:prstGeom>
                    <a:noFill/>
                    <a:ln>
                      <a:noFill/>
                    </a:ln>
                  </pic:spPr>
                </pic:pic>
              </a:graphicData>
            </a:graphic>
          </wp:inline>
        </w:drawing>
      </w:r>
      <w:r w:rsidRPr="00446426">
        <w:rPr>
          <w:noProof/>
        </w:rPr>
        <w:t xml:space="preserve"> </w:t>
      </w:r>
      <w:r>
        <w:rPr>
          <w:noProof/>
        </w:rPr>
        <w:drawing>
          <wp:inline distT="0" distB="0" distL="0" distR="0" wp14:anchorId="16AF6852" wp14:editId="6241D440">
            <wp:extent cx="2961005" cy="2288540"/>
            <wp:effectExtent l="0" t="0" r="0" b="0"/>
            <wp:docPr id="1239340944" name="Picture 1239340944"/>
            <wp:cNvGraphicFramePr/>
            <a:graphic xmlns:a="http://schemas.openxmlformats.org/drawingml/2006/main">
              <a:graphicData uri="http://schemas.openxmlformats.org/drawingml/2006/picture">
                <pic:pic xmlns:pic="http://schemas.openxmlformats.org/drawingml/2006/picture">
                  <pic:nvPicPr>
                    <pic:cNvPr id="1239340944" name="Picture 1239340944"/>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1005" cy="2288540"/>
                    </a:xfrm>
                    <a:prstGeom prst="rect">
                      <a:avLst/>
                    </a:prstGeom>
                    <a:noFill/>
                  </pic:spPr>
                </pic:pic>
              </a:graphicData>
            </a:graphic>
          </wp:inline>
        </w:drawing>
      </w:r>
    </w:p>
    <w:p w14:paraId="4DDAC1AE" w14:textId="03EDE5AC" w:rsidR="003D051F" w:rsidRDefault="003D051F" w:rsidP="003D051F">
      <w:pPr>
        <w:rPr>
          <w:rFonts w:eastAsia="Times New Roman" w:cs="Arial"/>
          <w:b/>
          <w:szCs w:val="20"/>
        </w:rPr>
      </w:pPr>
      <w:bookmarkStart w:id="1" w:name="_Ref65143441"/>
      <w:r>
        <w:rPr>
          <w:rFonts w:cs="Arial"/>
          <w:b/>
        </w:rPr>
        <w:t xml:space="preserve">Figure </w:t>
      </w:r>
      <w:r>
        <w:fldChar w:fldCharType="begin"/>
      </w:r>
      <w:r>
        <w:rPr>
          <w:rFonts w:cs="Arial"/>
          <w:b/>
        </w:rPr>
        <w:instrText xml:space="preserve"> SEQ Figure \* ARABIC </w:instrText>
      </w:r>
      <w:r>
        <w:fldChar w:fldCharType="separate"/>
      </w:r>
      <w:r w:rsidR="00D67762">
        <w:rPr>
          <w:rFonts w:cs="Arial"/>
          <w:b/>
          <w:noProof/>
        </w:rPr>
        <w:t>1</w:t>
      </w:r>
      <w:r>
        <w:fldChar w:fldCharType="end"/>
      </w:r>
      <w:bookmarkEnd w:id="1"/>
      <w:r>
        <w:rPr>
          <w:rFonts w:cs="Arial"/>
          <w:b/>
          <w:bCs/>
        </w:rPr>
        <w:t>:</w:t>
      </w:r>
      <w:r>
        <w:rPr>
          <w:rFonts w:cs="Arial"/>
          <w:b/>
        </w:rPr>
        <w:t xml:space="preserve"> (left) </w:t>
      </w:r>
      <w:r w:rsidRPr="00496D0D">
        <w:rPr>
          <w:rFonts w:cs="Arial"/>
          <w:b/>
        </w:rPr>
        <w:t>SSB (PSS+SSS+PBCH) maximum isotropic loss for TDL-A 3km/h, various delay spreads and subcarrier spacings.</w:t>
      </w:r>
      <w:r>
        <w:rPr>
          <w:rFonts w:cs="Arial"/>
          <w:b/>
        </w:rPr>
        <w:t xml:space="preserve"> (right) PRACH maximum isotropic loss for the case of delay spread </w:t>
      </w:r>
      <w:r>
        <w:rPr>
          <w:rFonts w:cs="Arial"/>
          <w:b/>
          <w:bCs/>
        </w:rPr>
        <w:t>2</w:t>
      </w:r>
      <w:r>
        <w:rPr>
          <w:rFonts w:cs="Arial"/>
          <w:b/>
        </w:rPr>
        <w:t xml:space="preserve">0 ns and </w:t>
      </w:r>
      <w:r>
        <w:rPr>
          <w:rFonts w:cs="Arial"/>
          <w:b/>
          <w:bCs/>
        </w:rPr>
        <w:t>maximum propagation round-trip time 380</w:t>
      </w:r>
      <w:r>
        <w:rPr>
          <w:rFonts w:cs="Arial"/>
          <w:b/>
        </w:rPr>
        <w:t> ns</w:t>
      </w:r>
      <w:r>
        <w:rPr>
          <w:rFonts w:cs="Arial"/>
          <w:b/>
          <w:bCs/>
        </w:rPr>
        <w:t xml:space="preserve"> (ISD 100 m) with all transmit power limits considered. L is the PRACH sequence length.</w:t>
      </w:r>
    </w:p>
    <w:p w14:paraId="2EEC56B0" w14:textId="33AC1D02" w:rsidR="00496D0D" w:rsidRDefault="00496D0D" w:rsidP="00446426">
      <w:r>
        <w:t>That is, w</w:t>
      </w:r>
      <w:r w:rsidR="00446426">
        <w:t xml:space="preserve">ith larger SCS, the OFDM symbol duration becomes shorter which negatively impacts coverage for fixed payload channels (e.g., PDCCH/PUCCH) and variable payload channels (e.g., PDSCH/PUSCH). The same is true for initial access signals and channels (SS/PBCH block, PRACH) as we show using link budget results </w:t>
      </w:r>
      <w:r w:rsidR="00983772">
        <w:rPr>
          <w:highlight w:val="yellow"/>
        </w:rPr>
        <w:fldChar w:fldCharType="begin"/>
      </w:r>
      <w:r w:rsidR="00983772">
        <w:instrText xml:space="preserve"> REF _Ref61361737 \r \h </w:instrText>
      </w:r>
      <w:r w:rsidR="00983772">
        <w:rPr>
          <w:highlight w:val="yellow"/>
        </w:rPr>
      </w:r>
      <w:r w:rsidR="00983772">
        <w:rPr>
          <w:highlight w:val="yellow"/>
        </w:rPr>
        <w:fldChar w:fldCharType="separate"/>
      </w:r>
      <w:r w:rsidR="00983772">
        <w:t>[7]</w:t>
      </w:r>
      <w:r w:rsidR="00983772">
        <w:rPr>
          <w:highlight w:val="yellow"/>
        </w:rPr>
        <w:fldChar w:fldCharType="end"/>
      </w:r>
      <w:r w:rsidR="00446426">
        <w:t xml:space="preserve">. </w:t>
      </w:r>
      <w:r>
        <w:t>I</w:t>
      </w:r>
      <w:r w:rsidRPr="001C1EE1">
        <w:t xml:space="preserve">n </w:t>
      </w:r>
      <w:r w:rsidR="001C1EE1" w:rsidRPr="001C1EE1">
        <w:fldChar w:fldCharType="begin"/>
      </w:r>
      <w:r w:rsidR="001C1EE1" w:rsidRPr="001C1EE1">
        <w:instrText xml:space="preserve"> REF _Ref65143441 \h  \* MERGEFORMAT </w:instrText>
      </w:r>
      <w:r w:rsidR="001C1EE1" w:rsidRPr="001C1EE1">
        <w:fldChar w:fldCharType="separate"/>
      </w:r>
      <w:r w:rsidR="001C1EE1" w:rsidRPr="001C1EE1">
        <w:rPr>
          <w:rFonts w:cs="Arial"/>
        </w:rPr>
        <w:t xml:space="preserve">Figure </w:t>
      </w:r>
      <w:r w:rsidR="001C1EE1" w:rsidRPr="001C1EE1">
        <w:rPr>
          <w:rFonts w:cs="Arial"/>
          <w:noProof/>
        </w:rPr>
        <w:t>1</w:t>
      </w:r>
      <w:r w:rsidR="001C1EE1" w:rsidRPr="001C1EE1">
        <w:fldChar w:fldCharType="end"/>
      </w:r>
      <w:r>
        <w:t xml:space="preserve"> </w:t>
      </w:r>
      <w:r w:rsidR="00446426">
        <w:t>we r</w:t>
      </w:r>
      <w:r>
        <w:t xml:space="preserve">epeat the link budget results from </w:t>
      </w:r>
      <w:r w:rsidR="00EE68F7">
        <w:t xml:space="preserve">Sections 4.1.1 and 4.1.2 of </w:t>
      </w:r>
      <w:r w:rsidR="00983772">
        <w:rPr>
          <w:highlight w:val="yellow"/>
        </w:rPr>
        <w:fldChar w:fldCharType="begin"/>
      </w:r>
      <w:r w:rsidR="00983772">
        <w:instrText xml:space="preserve"> REF _Ref61361737 \r \h </w:instrText>
      </w:r>
      <w:r w:rsidR="00983772">
        <w:rPr>
          <w:highlight w:val="yellow"/>
        </w:rPr>
      </w:r>
      <w:r w:rsidR="00983772">
        <w:rPr>
          <w:highlight w:val="yellow"/>
        </w:rPr>
        <w:fldChar w:fldCharType="separate"/>
      </w:r>
      <w:r w:rsidR="00983772">
        <w:t>[7]</w:t>
      </w:r>
      <w:r w:rsidR="00983772">
        <w:rPr>
          <w:highlight w:val="yellow"/>
        </w:rPr>
        <w:fldChar w:fldCharType="end"/>
      </w:r>
      <w:r>
        <w:t xml:space="preserve"> for SS/PBCH block and PRACH. For both SS</w:t>
      </w:r>
      <w:r w:rsidR="0006513E">
        <w:t>/P</w:t>
      </w:r>
      <w:r>
        <w:t>B</w:t>
      </w:r>
      <w:r w:rsidR="0006513E">
        <w:t>CH block</w:t>
      </w:r>
      <w:r>
        <w:t xml:space="preserve"> and PRACH, 120 kHz </w:t>
      </w:r>
      <w:r w:rsidR="003D051F">
        <w:t xml:space="preserve">SCS </w:t>
      </w:r>
      <w:r>
        <w:t xml:space="preserve">has more than 6 dB better maximum isotropic loss than 960 kHz. </w:t>
      </w:r>
      <w:r w:rsidR="003D051F">
        <w:t>Based on the pathloss models in 38.90</w:t>
      </w:r>
      <w:r w:rsidR="00C65518">
        <w:t>1</w:t>
      </w:r>
      <w:r w:rsidR="003D051F">
        <w:t>, this results in a 1.5 - 2 times larger cell radius and thus 2.25 - 4 times larger coverage area.</w:t>
      </w:r>
      <w:r w:rsidR="0006513E">
        <w:t xml:space="preserve"> We can also observe that the maximum isotropic loss for the SS/PBCH block with 120 and 240 kHz are essentially identical, due to the fixed frequency allocation (20 PRBs) and spectral power density limits.</w:t>
      </w:r>
    </w:p>
    <w:p w14:paraId="07FB48C3" w14:textId="4EFEA5A1" w:rsidR="003D051F" w:rsidRDefault="003D051F" w:rsidP="003D051F">
      <w:pPr>
        <w:pStyle w:val="BodyText"/>
      </w:pPr>
      <w:r>
        <w:t>Based on this observation</w:t>
      </w:r>
      <w:r w:rsidR="00F86CEB">
        <w:t>, and the fact that coverage enhancements for SS</w:t>
      </w:r>
      <w:r w:rsidR="00A17C49">
        <w:t>/P</w:t>
      </w:r>
      <w:r w:rsidR="00F86CEB">
        <w:t>B</w:t>
      </w:r>
      <w:r w:rsidR="00A17C49">
        <w:t>CH block</w:t>
      </w:r>
      <w:r w:rsidR="00F86CEB">
        <w:t xml:space="preserve"> are not pursued according to the WID </w:t>
      </w:r>
      <w:r w:rsidR="00F86CEB">
        <w:fldChar w:fldCharType="begin"/>
      </w:r>
      <w:r w:rsidR="00F86CEB">
        <w:instrText xml:space="preserve"> REF _Ref60753713 \r \h </w:instrText>
      </w:r>
      <w:r w:rsidR="00F86CEB">
        <w:fldChar w:fldCharType="separate"/>
      </w:r>
      <w:r w:rsidR="00F86CEB">
        <w:t>[1]</w:t>
      </w:r>
      <w:r w:rsidR="00F86CEB">
        <w:fldChar w:fldCharType="end"/>
      </w:r>
      <w:r>
        <w:t xml:space="preserve">, it is important to deploy in a manner that ensures coverage, which further guides what sort of design changes/enhancements compared to Rel-16 should be supported for operation of NR in the 52.6 – 71 GHz band. Two example deployments ensuring coverage are shown in </w:t>
      </w:r>
      <w:r w:rsidR="00EE68F7">
        <w:fldChar w:fldCharType="begin"/>
      </w:r>
      <w:r w:rsidR="00EE68F7">
        <w:instrText xml:space="preserve"> REF _Ref60908023 \h </w:instrText>
      </w:r>
      <w:r w:rsidR="00EE68F7">
        <w:fldChar w:fldCharType="separate"/>
      </w:r>
      <w:r w:rsidR="00EE68F7">
        <w:t xml:space="preserve">Figure </w:t>
      </w:r>
      <w:r w:rsidR="00EE68F7">
        <w:rPr>
          <w:noProof/>
        </w:rPr>
        <w:t>2</w:t>
      </w:r>
      <w:r w:rsidR="00EE68F7">
        <w:fldChar w:fldCharType="end"/>
      </w:r>
      <w:r w:rsidR="00EE68F7">
        <w:t xml:space="preserve"> and </w:t>
      </w:r>
      <w:r w:rsidR="00EE68F7">
        <w:fldChar w:fldCharType="begin"/>
      </w:r>
      <w:r w:rsidR="00EE68F7">
        <w:instrText xml:space="preserve"> REF _Ref60908039 \h </w:instrText>
      </w:r>
      <w:r w:rsidR="00EE68F7">
        <w:fldChar w:fldCharType="separate"/>
      </w:r>
      <w:r w:rsidR="00EE68F7">
        <w:t xml:space="preserve">Figure </w:t>
      </w:r>
      <w:r w:rsidR="00EE68F7">
        <w:rPr>
          <w:noProof/>
        </w:rPr>
        <w:t>3</w:t>
      </w:r>
      <w:r w:rsidR="00EE68F7">
        <w:fldChar w:fldCharType="end"/>
      </w:r>
      <w:r>
        <w:t>. In both cases, a carrier in the 52.6 – 71 GHz band is deployed, but for the non-standalone deployment, this carrier inter-works with a low(er)-band carrier through carrier aggregation (CA) or dual-connectivity (DC).</w:t>
      </w:r>
    </w:p>
    <w:p w14:paraId="3471E1F6" w14:textId="6CE1A0BA" w:rsidR="00405174" w:rsidRDefault="00405174" w:rsidP="003D051F">
      <w:pPr>
        <w:pStyle w:val="BodyText"/>
      </w:pPr>
      <w:r>
        <w:t>For the non-standalone case</w:t>
      </w:r>
      <w:r w:rsidR="002025ED">
        <w:t xml:space="preserve"> (</w:t>
      </w:r>
      <w:r w:rsidR="002025ED">
        <w:fldChar w:fldCharType="begin"/>
      </w:r>
      <w:r w:rsidR="002025ED">
        <w:instrText xml:space="preserve"> REF _Ref60908023 \h </w:instrText>
      </w:r>
      <w:r w:rsidR="002025ED">
        <w:fldChar w:fldCharType="separate"/>
      </w:r>
      <w:r w:rsidR="002025ED">
        <w:t xml:space="preserve">Figure </w:t>
      </w:r>
      <w:r w:rsidR="002025ED">
        <w:rPr>
          <w:noProof/>
        </w:rPr>
        <w:t>2</w:t>
      </w:r>
      <w:r w:rsidR="002025ED">
        <w:fldChar w:fldCharType="end"/>
      </w:r>
      <w:r w:rsidR="002025ED">
        <w:t>)</w:t>
      </w:r>
      <w:r>
        <w:t xml:space="preserve">, a </w:t>
      </w:r>
      <w:proofErr w:type="spellStart"/>
      <w:r>
        <w:t>PCell</w:t>
      </w:r>
      <w:proofErr w:type="spellEnd"/>
      <w:r>
        <w:t xml:space="preserve"> in the low(er) band carrier is configured with 15/30 kHz SCS (for FR1) or 120 kHz SCS (for FR2) for which coverage is ensured. </w:t>
      </w:r>
      <w:r w:rsidR="00D86FF4">
        <w:t>In this deployment</w:t>
      </w:r>
      <w:r>
        <w:t xml:space="preserve">, the existing Rel-15 initial access framework is directly appliable. In addition, an </w:t>
      </w:r>
      <w:proofErr w:type="spellStart"/>
      <w:r>
        <w:t>SCell</w:t>
      </w:r>
      <w:proofErr w:type="spellEnd"/>
      <w:r>
        <w:t xml:space="preserve"> or </w:t>
      </w:r>
      <w:proofErr w:type="spellStart"/>
      <w:r>
        <w:t>PSCell</w:t>
      </w:r>
      <w:proofErr w:type="spellEnd"/>
      <w:r>
        <w:t xml:space="preserve"> is configured on the high band carrier (in the 52.6 – 71 GHz band) with </w:t>
      </w:r>
      <w:r w:rsidR="00D86FF4">
        <w:t xml:space="preserve">either </w:t>
      </w:r>
      <w:r>
        <w:t xml:space="preserve">480 </w:t>
      </w:r>
      <w:r w:rsidR="00D86FF4">
        <w:t>or 960</w:t>
      </w:r>
      <w:r>
        <w:t xml:space="preserve"> kHz SCS which inter-works with the low(er)-band carrier through CA/DC. The </w:t>
      </w:r>
      <w:proofErr w:type="spellStart"/>
      <w:r>
        <w:t>SCell</w:t>
      </w:r>
      <w:proofErr w:type="spellEnd"/>
      <w:r>
        <w:t>/</w:t>
      </w:r>
      <w:proofErr w:type="spellStart"/>
      <w:r>
        <w:t>PSCell</w:t>
      </w:r>
      <w:proofErr w:type="spellEnd"/>
      <w:r>
        <w:t xml:space="preserve"> is activated </w:t>
      </w:r>
      <w:proofErr w:type="gramStart"/>
      <w:r>
        <w:t>in order to</w:t>
      </w:r>
      <w:proofErr w:type="gramEnd"/>
      <w:r>
        <w:t xml:space="preserve"> support high data rates when needed as long as the UE is in sufficiently good channel conditions. This would be the most robust way of operating</w:t>
      </w:r>
      <w:r w:rsidR="00EE68F7">
        <w:t>,</w:t>
      </w:r>
      <w:r>
        <w:t xml:space="preserve"> as coverage is ensured by the lower band </w:t>
      </w:r>
      <w:proofErr w:type="spellStart"/>
      <w:r>
        <w:t>PCell</w:t>
      </w:r>
      <w:proofErr w:type="spellEnd"/>
      <w:r>
        <w:t>.</w:t>
      </w:r>
    </w:p>
    <w:p w14:paraId="5EC286EA" w14:textId="26DFF8F5" w:rsidR="002025ED" w:rsidRDefault="00A52835" w:rsidP="002025ED">
      <w:pPr>
        <w:keepNext/>
        <w:tabs>
          <w:tab w:val="center" w:pos="2340"/>
          <w:tab w:val="center" w:pos="7290"/>
        </w:tabs>
        <w:spacing w:line="256" w:lineRule="auto"/>
        <w:contextualSpacing/>
        <w:jc w:val="center"/>
        <w:rPr>
          <w:rFonts w:ascii="Times New Roman" w:eastAsia="Times New Roman" w:hAnsi="Times New Roman" w:cs="Times New Roman"/>
          <w:szCs w:val="20"/>
        </w:rPr>
      </w:pPr>
      <w:r>
        <w:rPr>
          <w:rFonts w:ascii="Times New Roman" w:eastAsia="Times New Roman" w:hAnsi="Times New Roman" w:cs="Times New Roman"/>
          <w:noProof/>
          <w:szCs w:val="20"/>
        </w:rPr>
        <w:drawing>
          <wp:inline distT="0" distB="0" distL="0" distR="0" wp14:anchorId="1286316C" wp14:editId="2526EAEF">
            <wp:extent cx="3653122" cy="1406106"/>
            <wp:effectExtent l="0" t="0" r="0" b="0"/>
            <wp:docPr id="1239340934" name="Picture 123934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9157" cy="1412278"/>
                    </a:xfrm>
                    <a:prstGeom prst="rect">
                      <a:avLst/>
                    </a:prstGeom>
                    <a:noFill/>
                  </pic:spPr>
                </pic:pic>
              </a:graphicData>
            </a:graphic>
          </wp:inline>
        </w:drawing>
      </w:r>
    </w:p>
    <w:p w14:paraId="67BE983F" w14:textId="4AB4AEF0" w:rsidR="002025ED" w:rsidRDefault="002025ED" w:rsidP="002025ED">
      <w:pPr>
        <w:pStyle w:val="TF"/>
        <w:jc w:val="both"/>
        <w:rPr>
          <w:rFonts w:cs="Arial"/>
          <w:highlight w:val="yellow"/>
        </w:rPr>
      </w:pPr>
      <w:bookmarkStart w:id="2" w:name="_Ref60908023"/>
      <w:bookmarkStart w:id="3" w:name="_Ref61756084"/>
      <w:r>
        <w:rPr>
          <w:lang w:val="en-US"/>
        </w:rPr>
        <w:t xml:space="preserve">Figure </w:t>
      </w:r>
      <w:r>
        <w:fldChar w:fldCharType="begin"/>
      </w:r>
      <w:r>
        <w:instrText xml:space="preserve"> SEQ Figure \* ARABIC </w:instrText>
      </w:r>
      <w:r>
        <w:fldChar w:fldCharType="separate"/>
      </w:r>
      <w:r w:rsidR="00D67762">
        <w:rPr>
          <w:noProof/>
        </w:rPr>
        <w:t>2</w:t>
      </w:r>
      <w:r>
        <w:rPr>
          <w:noProof/>
        </w:rPr>
        <w:fldChar w:fldCharType="end"/>
      </w:r>
      <w:bookmarkEnd w:id="2"/>
      <w:r>
        <w:rPr>
          <w:lang w:val="en-US"/>
        </w:rPr>
        <w:t xml:space="preserve">: Non-standalone deployment scenarios for ensuring coverage with reuse of </w:t>
      </w:r>
      <w:r w:rsidR="002334C4">
        <w:rPr>
          <w:lang w:val="en-US"/>
        </w:rPr>
        <w:t>FR1/</w:t>
      </w:r>
      <w:r>
        <w:rPr>
          <w:lang w:val="en-US"/>
        </w:rPr>
        <w:t>FR2 initial access framework</w:t>
      </w:r>
      <w:bookmarkEnd w:id="3"/>
    </w:p>
    <w:p w14:paraId="6E859EB5" w14:textId="50739048" w:rsidR="005D0B4B" w:rsidRDefault="003D051F" w:rsidP="003D051F">
      <w:pPr>
        <w:pStyle w:val="BodyText"/>
      </w:pPr>
      <w:r>
        <w:lastRenderedPageBreak/>
        <w:t>For the standalone case</w:t>
      </w:r>
      <w:r w:rsidR="002025ED">
        <w:t xml:space="preserve"> (</w:t>
      </w:r>
      <w:r w:rsidR="002025ED">
        <w:fldChar w:fldCharType="begin"/>
      </w:r>
      <w:r w:rsidR="002025ED">
        <w:instrText xml:space="preserve"> REF _Ref60908039 \h </w:instrText>
      </w:r>
      <w:r w:rsidR="002025ED">
        <w:fldChar w:fldCharType="separate"/>
      </w:r>
      <w:r w:rsidR="002025ED">
        <w:t xml:space="preserve">Figure </w:t>
      </w:r>
      <w:r w:rsidR="002025ED">
        <w:rPr>
          <w:noProof/>
        </w:rPr>
        <w:t>3</w:t>
      </w:r>
      <w:r w:rsidR="002025ED">
        <w:fldChar w:fldCharType="end"/>
      </w:r>
      <w:r w:rsidR="002025ED">
        <w:t>)</w:t>
      </w:r>
      <w:r>
        <w:t xml:space="preserve">, coverage is ensured by </w:t>
      </w:r>
      <w:r w:rsidR="00920B50">
        <w:t xml:space="preserve">a </w:t>
      </w:r>
      <w:proofErr w:type="spellStart"/>
      <w:r w:rsidR="00920B50">
        <w:t>PCell</w:t>
      </w:r>
      <w:proofErr w:type="spellEnd"/>
      <w:r w:rsidR="00920B50">
        <w:t xml:space="preserve"> with</w:t>
      </w:r>
      <w:r>
        <w:t xml:space="preserve"> </w:t>
      </w:r>
      <w:r w:rsidR="00920B50">
        <w:t xml:space="preserve">an </w:t>
      </w:r>
      <w:r>
        <w:t xml:space="preserve">initial BWP using 120 kHz SCS. The initial BWP is used for initial access, and the existing FR2 framework is directly applicable, e.g., 120 kHz for PRACH and 120/240 kHz for SS/PBCH. </w:t>
      </w:r>
      <w:r w:rsidR="00405174">
        <w:t xml:space="preserve">To support higher data rates for UEs in good coverage there are two options; (i) </w:t>
      </w:r>
      <w:r w:rsidR="00D86FF4">
        <w:t xml:space="preserve">intra-band multi-carrier operation in which one </w:t>
      </w:r>
      <w:r w:rsidR="00405174">
        <w:t>configure</w:t>
      </w:r>
      <w:r w:rsidR="00D86FF4">
        <w:t>s</w:t>
      </w:r>
      <w:r w:rsidR="00405174">
        <w:t xml:space="preserve"> the UE with additional </w:t>
      </w:r>
      <w:proofErr w:type="spellStart"/>
      <w:r w:rsidR="00405174">
        <w:t>SCell</w:t>
      </w:r>
      <w:proofErr w:type="spellEnd"/>
      <w:r w:rsidR="00405174">
        <w:t xml:space="preserve">(s) with </w:t>
      </w:r>
      <w:r w:rsidR="00D86FF4">
        <w:t xml:space="preserve">larger </w:t>
      </w:r>
      <w:r w:rsidR="00920B50">
        <w:t xml:space="preserve">bandwidth and </w:t>
      </w:r>
      <w:r w:rsidR="00405174">
        <w:t xml:space="preserve">larger SCS (480 </w:t>
      </w:r>
      <w:r w:rsidR="00D86FF4">
        <w:t>or 960</w:t>
      </w:r>
      <w:r w:rsidR="00405174">
        <w:t xml:space="preserve"> kHz)</w:t>
      </w:r>
      <w:r w:rsidR="00920B50">
        <w:t xml:space="preserve"> or</w:t>
      </w:r>
      <w:r w:rsidR="00405174">
        <w:t xml:space="preserve"> (ii) </w:t>
      </w:r>
      <w:r w:rsidR="00D86FF4">
        <w:t xml:space="preserve">single-carrier operation in which one </w:t>
      </w:r>
      <w:r w:rsidR="00405174">
        <w:t>configure</w:t>
      </w:r>
      <w:r w:rsidR="00D86FF4">
        <w:t>s</w:t>
      </w:r>
      <w:r w:rsidR="00405174">
        <w:t xml:space="preserve"> an additional wide BWP with larger SCS (480 </w:t>
      </w:r>
      <w:r w:rsidR="00D86FF4">
        <w:t>or 960</w:t>
      </w:r>
      <w:r w:rsidR="00405174">
        <w:t xml:space="preserve"> kHz)</w:t>
      </w:r>
      <w:r w:rsidR="00920B50">
        <w:t xml:space="preserve">. </w:t>
      </w:r>
    </w:p>
    <w:p w14:paraId="756B51A5" w14:textId="77777777" w:rsidR="001F5F30" w:rsidRPr="00DC4504" w:rsidRDefault="001F5F30" w:rsidP="003D051F">
      <w:pPr>
        <w:pStyle w:val="BodyText"/>
        <w:rPr>
          <w:lang w:val="x-none"/>
        </w:rPr>
      </w:pPr>
    </w:p>
    <w:p w14:paraId="33179F50" w14:textId="0F2FA8F6" w:rsidR="001F5F30" w:rsidRDefault="00AF2320" w:rsidP="00DC4504">
      <w:pPr>
        <w:pStyle w:val="BodyText"/>
        <w:jc w:val="right"/>
      </w:pPr>
      <w:r>
        <w:rPr>
          <w:noProof/>
        </w:rPr>
        <w:drawing>
          <wp:inline distT="0" distB="0" distL="0" distR="0" wp14:anchorId="6243F591" wp14:editId="54A261B5">
            <wp:extent cx="2257200" cy="1389600"/>
            <wp:effectExtent l="0" t="0" r="0" b="0"/>
            <wp:docPr id="1239340945" name="Picture 123934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200" cy="1389600"/>
                    </a:xfrm>
                    <a:prstGeom prst="rect">
                      <a:avLst/>
                    </a:prstGeom>
                    <a:noFill/>
                  </pic:spPr>
                </pic:pic>
              </a:graphicData>
            </a:graphic>
          </wp:inline>
        </w:drawing>
      </w:r>
      <w:r w:rsidR="001F5F30">
        <w:tab/>
      </w:r>
      <w:r w:rsidR="00451F5C">
        <w:tab/>
      </w:r>
      <w:r>
        <w:rPr>
          <w:noProof/>
        </w:rPr>
        <w:drawing>
          <wp:inline distT="0" distB="0" distL="0" distR="0" wp14:anchorId="1F0E8618" wp14:editId="169320BC">
            <wp:extent cx="2570400" cy="1872000"/>
            <wp:effectExtent l="0" t="0" r="0" b="0"/>
            <wp:docPr id="1239340958" name="Picture 1239340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0400" cy="1872000"/>
                    </a:xfrm>
                    <a:prstGeom prst="rect">
                      <a:avLst/>
                    </a:prstGeom>
                    <a:noFill/>
                  </pic:spPr>
                </pic:pic>
              </a:graphicData>
            </a:graphic>
          </wp:inline>
        </w:drawing>
      </w:r>
    </w:p>
    <w:p w14:paraId="46896966" w14:textId="7DAF44F7" w:rsidR="003D051F" w:rsidRPr="00A17C49" w:rsidRDefault="001F5F30" w:rsidP="00A17C49">
      <w:pPr>
        <w:pStyle w:val="TF"/>
        <w:jc w:val="both"/>
        <w:rPr>
          <w:rFonts w:eastAsia="Times New Roman" w:cs="Times New Roman"/>
          <w:szCs w:val="20"/>
        </w:rPr>
      </w:pPr>
      <w:bookmarkStart w:id="4" w:name="_Ref60908039"/>
      <w:r>
        <w:rPr>
          <w:lang w:val="en-US"/>
        </w:rPr>
        <w:t xml:space="preserve">Figure </w:t>
      </w:r>
      <w:r>
        <w:fldChar w:fldCharType="begin"/>
      </w:r>
      <w:r>
        <w:instrText xml:space="preserve"> SEQ Figure \* ARABIC </w:instrText>
      </w:r>
      <w:r>
        <w:fldChar w:fldCharType="separate"/>
      </w:r>
      <w:r w:rsidR="00D67762">
        <w:rPr>
          <w:noProof/>
        </w:rPr>
        <w:t>3</w:t>
      </w:r>
      <w:r>
        <w:rPr>
          <w:noProof/>
        </w:rPr>
        <w:fldChar w:fldCharType="end"/>
      </w:r>
      <w:bookmarkEnd w:id="4"/>
      <w:r>
        <w:rPr>
          <w:lang w:val="en-US"/>
        </w:rPr>
        <w:t>: Standalone deployment scenarios for ensuring coverage with reuse of FR2 initial access framework</w:t>
      </w:r>
    </w:p>
    <w:p w14:paraId="2AD66369" w14:textId="45816B78" w:rsidR="0006513E" w:rsidRDefault="0006513E" w:rsidP="0006513E">
      <w:pPr>
        <w:pStyle w:val="Heading2"/>
      </w:pPr>
      <w:bookmarkStart w:id="5" w:name="_Ref67673415"/>
      <w:r>
        <w:t>2.1</w:t>
      </w:r>
      <w:r>
        <w:tab/>
        <w:t>SS/PBCH Block Related Aspects</w:t>
      </w:r>
      <w:bookmarkEnd w:id="5"/>
    </w:p>
    <w:p w14:paraId="1104A932" w14:textId="60411B0C" w:rsidR="00643526" w:rsidRPr="00643526" w:rsidRDefault="00643526" w:rsidP="00643526">
      <w:pPr>
        <w:pStyle w:val="Heading3"/>
      </w:pPr>
      <w:r>
        <w:t>2.1.1</w:t>
      </w:r>
      <w:r>
        <w:tab/>
        <w:t>SCSs for SS/PBCH Block</w:t>
      </w:r>
    </w:p>
    <w:p w14:paraId="349FF3BF" w14:textId="77777777" w:rsidR="00043FF2" w:rsidRDefault="00043FF2" w:rsidP="00043FF2">
      <w:r>
        <w:t>In RAN1#104-e the following agreement was made</w:t>
      </w:r>
    </w:p>
    <w:tbl>
      <w:tblPr>
        <w:tblStyle w:val="TableGrid"/>
        <w:tblW w:w="0" w:type="auto"/>
        <w:tblLook w:val="04A0" w:firstRow="1" w:lastRow="0" w:firstColumn="1" w:lastColumn="0" w:noHBand="0" w:noVBand="1"/>
      </w:tblPr>
      <w:tblGrid>
        <w:gridCol w:w="9629"/>
      </w:tblGrid>
      <w:tr w:rsidR="00043FF2" w14:paraId="7F69CEFB" w14:textId="77777777" w:rsidTr="00B55B75">
        <w:tc>
          <w:tcPr>
            <w:tcW w:w="9629" w:type="dxa"/>
          </w:tcPr>
          <w:p w14:paraId="7756A327" w14:textId="77777777" w:rsidR="00043FF2" w:rsidRPr="00106B7E" w:rsidRDefault="00043FF2" w:rsidP="00B55B75">
            <w:pPr>
              <w:pStyle w:val="BodyText"/>
              <w:spacing w:after="0"/>
              <w:rPr>
                <w:rFonts w:ascii="Times New Roman" w:eastAsiaTheme="minorEastAsia" w:hAnsi="Times New Roman"/>
                <w:sz w:val="20"/>
                <w:szCs w:val="20"/>
              </w:rPr>
            </w:pPr>
            <w:r w:rsidRPr="00106B7E">
              <w:rPr>
                <w:rFonts w:ascii="Times New Roman" w:hAnsi="Times New Roman"/>
                <w:sz w:val="20"/>
                <w:szCs w:val="20"/>
                <w:highlight w:val="green"/>
              </w:rPr>
              <w:t>Agreement</w:t>
            </w:r>
            <w:r w:rsidRPr="00106B7E">
              <w:rPr>
                <w:rFonts w:ascii="Times New Roman" w:hAnsi="Times New Roman"/>
                <w:sz w:val="20"/>
                <w:szCs w:val="20"/>
              </w:rPr>
              <w:t>:</w:t>
            </w:r>
          </w:p>
          <w:p w14:paraId="51BDF4EB" w14:textId="77777777" w:rsidR="00043FF2" w:rsidRPr="00A6540A" w:rsidRDefault="00043FF2" w:rsidP="00B55B75">
            <w:pPr>
              <w:pStyle w:val="BodyText"/>
              <w:numPr>
                <w:ilvl w:val="0"/>
                <w:numId w:val="34"/>
              </w:numPr>
              <w:spacing w:after="0" w:line="256" w:lineRule="auto"/>
              <w:jc w:val="left"/>
              <w:rPr>
                <w:rFonts w:ascii="Times New Roman" w:hAnsi="Times New Roman"/>
              </w:rPr>
            </w:pPr>
            <w:r w:rsidRPr="00106B7E">
              <w:rPr>
                <w:rFonts w:ascii="Times New Roman" w:hAnsi="Times New Roman"/>
                <w:sz w:val="20"/>
                <w:szCs w:val="20"/>
              </w:rPr>
              <w:t>Whether or not to support 240 kHz, 480kHz and 960kHz SCS for SSB and the conditions under which SSB for 240 kHz, 480 kHz and 960 kHz may be supported will be decided no later than RAN1#104bis-e.</w:t>
            </w:r>
          </w:p>
        </w:tc>
      </w:tr>
    </w:tbl>
    <w:p w14:paraId="44310E8B" w14:textId="27240A06" w:rsidR="00643526" w:rsidRDefault="00643526" w:rsidP="00043FF2"/>
    <w:p w14:paraId="5A84FCCF" w14:textId="1E447B0B" w:rsidR="00043FF2" w:rsidRDefault="00043FF2" w:rsidP="00043FF2">
      <w:r>
        <w:t xml:space="preserve">Further at the end of the meeting, </w:t>
      </w:r>
      <w:proofErr w:type="gramStart"/>
      <w:r w:rsidR="00A338F0">
        <w:t>a number of</w:t>
      </w:r>
      <w:proofErr w:type="gramEnd"/>
      <w:r>
        <w:t xml:space="preserve"> proposals were discussed, but without conclusion. </w:t>
      </w:r>
      <w:r w:rsidR="00A338F0">
        <w:t>Below we reiterate Proposal #1.2-1</w:t>
      </w:r>
      <w:r w:rsidR="0037317C">
        <w:t>3</w:t>
      </w:r>
      <w:r w:rsidR="00A338F0">
        <w:t xml:space="preserve"> that we think can be a good starting point for discussion.</w:t>
      </w:r>
    </w:p>
    <w:tbl>
      <w:tblPr>
        <w:tblStyle w:val="TableGrid"/>
        <w:tblW w:w="0" w:type="auto"/>
        <w:tblLook w:val="04A0" w:firstRow="1" w:lastRow="0" w:firstColumn="1" w:lastColumn="0" w:noHBand="0" w:noVBand="1"/>
      </w:tblPr>
      <w:tblGrid>
        <w:gridCol w:w="9629"/>
      </w:tblGrid>
      <w:tr w:rsidR="00043FF2" w14:paraId="478FDF7A" w14:textId="77777777" w:rsidTr="00B55B75">
        <w:tc>
          <w:tcPr>
            <w:tcW w:w="9629" w:type="dxa"/>
          </w:tcPr>
          <w:p w14:paraId="76980781" w14:textId="77777777" w:rsidR="0086687B" w:rsidRPr="00106B7E" w:rsidRDefault="0086687B" w:rsidP="0086687B">
            <w:pPr>
              <w:pStyle w:val="Heading5"/>
              <w:outlineLvl w:val="4"/>
              <w:rPr>
                <w:rFonts w:ascii="Times New Roman" w:eastAsia="SimSun" w:hAnsi="Times New Roman"/>
                <w:sz w:val="20"/>
                <w:szCs w:val="20"/>
                <w:lang w:eastAsia="zh-CN"/>
              </w:rPr>
            </w:pPr>
            <w:r w:rsidRPr="00106B7E">
              <w:rPr>
                <w:rFonts w:ascii="Times New Roman" w:eastAsia="SimSun" w:hAnsi="Times New Roman"/>
                <w:sz w:val="20"/>
                <w:szCs w:val="20"/>
                <w:lang w:eastAsia="zh-CN"/>
              </w:rPr>
              <w:t>Proposal #1.2-13</w:t>
            </w:r>
          </w:p>
          <w:p w14:paraId="4164C4B8" w14:textId="77777777" w:rsidR="0086687B" w:rsidRPr="00106B7E" w:rsidRDefault="0086687B" w:rsidP="0086687B">
            <w:pPr>
              <w:pStyle w:val="BodyText"/>
              <w:numPr>
                <w:ilvl w:val="0"/>
                <w:numId w:val="34"/>
              </w:numPr>
              <w:spacing w:after="0" w:line="256" w:lineRule="auto"/>
              <w:jc w:val="left"/>
              <w:rPr>
                <w:rFonts w:ascii="Times New Roman" w:eastAsiaTheme="minorEastAsia" w:hAnsi="Times New Roman" w:cs="Times New Roman"/>
                <w:sz w:val="20"/>
                <w:szCs w:val="20"/>
              </w:rPr>
            </w:pPr>
            <w:r w:rsidRPr="00106B7E">
              <w:rPr>
                <w:rFonts w:ascii="Times New Roman" w:hAnsi="Times New Roman" w:cs="Times New Roman"/>
                <w:sz w:val="20"/>
                <w:szCs w:val="20"/>
              </w:rPr>
              <w:t>Support 480kHz and 960kHz SSB SCS when center frequency and SCS of SSB is explicitly provided to the UE and CORESET0 and Type0-PDCCH search space are not configured in MIB</w:t>
            </w:r>
          </w:p>
          <w:p w14:paraId="51DB8D33" w14:textId="77777777" w:rsidR="0086687B" w:rsidRPr="00106B7E" w:rsidRDefault="0086687B" w:rsidP="0086687B">
            <w:pPr>
              <w:pStyle w:val="BodyText"/>
              <w:numPr>
                <w:ilvl w:val="1"/>
                <w:numId w:val="34"/>
              </w:numPr>
              <w:spacing w:after="0" w:line="256" w:lineRule="auto"/>
              <w:jc w:val="left"/>
              <w:rPr>
                <w:rFonts w:ascii="Times New Roman" w:hAnsi="Times New Roman" w:cs="Times New Roman"/>
                <w:sz w:val="20"/>
                <w:szCs w:val="20"/>
              </w:rPr>
            </w:pPr>
            <w:r w:rsidRPr="00106B7E">
              <w:rPr>
                <w:rFonts w:ascii="Times New Roman" w:hAnsi="Times New Roman" w:cs="Times New Roman"/>
                <w:sz w:val="20"/>
                <w:szCs w:val="20"/>
              </w:rPr>
              <w:t>SCS of the configured BWP(s) of the carrier carrying 480/960 kHz SSB is expected to be the same as the SCS of the SSB.</w:t>
            </w:r>
          </w:p>
          <w:p w14:paraId="6EC4CCDE" w14:textId="77777777" w:rsidR="0086687B" w:rsidRPr="00106B7E" w:rsidRDefault="0086687B" w:rsidP="0086687B">
            <w:pPr>
              <w:pStyle w:val="BodyText"/>
              <w:numPr>
                <w:ilvl w:val="1"/>
                <w:numId w:val="34"/>
              </w:numPr>
              <w:spacing w:after="0" w:line="256" w:lineRule="auto"/>
              <w:jc w:val="left"/>
              <w:rPr>
                <w:rFonts w:ascii="Times New Roman" w:hAnsi="Times New Roman" w:cs="Times New Roman"/>
                <w:sz w:val="20"/>
                <w:szCs w:val="20"/>
              </w:rPr>
            </w:pPr>
            <w:r w:rsidRPr="00106B7E">
              <w:rPr>
                <w:rFonts w:ascii="Times New Roman" w:hAnsi="Times New Roman" w:cs="Times New Roman"/>
                <w:sz w:val="20"/>
                <w:szCs w:val="20"/>
              </w:rPr>
              <w:t>Note: support of 480/960kHz SCS for SSB is optional</w:t>
            </w:r>
          </w:p>
          <w:p w14:paraId="0EF45DB5" w14:textId="77777777" w:rsidR="0086687B" w:rsidRPr="00106B7E" w:rsidRDefault="0086687B" w:rsidP="0086687B">
            <w:pPr>
              <w:pStyle w:val="BodyText"/>
              <w:numPr>
                <w:ilvl w:val="0"/>
                <w:numId w:val="34"/>
              </w:numPr>
              <w:tabs>
                <w:tab w:val="left" w:pos="1080"/>
              </w:tabs>
              <w:spacing w:after="0" w:line="256" w:lineRule="auto"/>
              <w:jc w:val="left"/>
              <w:rPr>
                <w:rFonts w:ascii="Times New Roman" w:hAnsi="Times New Roman" w:cs="Times New Roman"/>
                <w:sz w:val="20"/>
                <w:szCs w:val="20"/>
              </w:rPr>
            </w:pPr>
            <w:r w:rsidRPr="00106B7E">
              <w:rPr>
                <w:rFonts w:ascii="Times New Roman" w:hAnsi="Times New Roman" w:cs="Times New Roman"/>
                <w:sz w:val="20"/>
                <w:szCs w:val="20"/>
              </w:rPr>
              <w:t>FFS: support one or more of 240, 480 kHz, 960 kHz SSB SCS for other cases</w:t>
            </w:r>
          </w:p>
          <w:p w14:paraId="4FBBA260" w14:textId="77777777" w:rsidR="0086687B" w:rsidRPr="00106B7E" w:rsidRDefault="0086687B" w:rsidP="0086687B">
            <w:pPr>
              <w:pStyle w:val="BodyText"/>
              <w:numPr>
                <w:ilvl w:val="1"/>
                <w:numId w:val="34"/>
              </w:numPr>
              <w:spacing w:after="0" w:line="256" w:lineRule="auto"/>
              <w:jc w:val="left"/>
              <w:rPr>
                <w:rFonts w:ascii="Times New Roman" w:hAnsi="Times New Roman" w:cs="Times New Roman"/>
                <w:sz w:val="20"/>
                <w:szCs w:val="20"/>
              </w:rPr>
            </w:pPr>
            <w:r w:rsidRPr="00106B7E">
              <w:rPr>
                <w:rFonts w:ascii="Times New Roman" w:hAnsi="Times New Roman" w:cs="Times New Roman"/>
                <w:sz w:val="20"/>
                <w:szCs w:val="20"/>
              </w:rPr>
              <w:t>FFS: support 240 kHz SCS SSB when center frequency and SCS of SSB is explicitly provided to the UE and CORESET0 and Type0-PDCCH search space are not configured in MIB</w:t>
            </w:r>
          </w:p>
          <w:p w14:paraId="259FFD6F" w14:textId="658E8909" w:rsidR="00043FF2" w:rsidRPr="00106B7E" w:rsidRDefault="0086687B">
            <w:pPr>
              <w:pStyle w:val="BodyText"/>
              <w:numPr>
                <w:ilvl w:val="1"/>
                <w:numId w:val="34"/>
              </w:numPr>
              <w:tabs>
                <w:tab w:val="left" w:pos="1800"/>
              </w:tabs>
              <w:spacing w:after="0" w:line="256" w:lineRule="auto"/>
              <w:jc w:val="left"/>
              <w:rPr>
                <w:rFonts w:ascii="Times New Roman" w:hAnsi="Times New Roman" w:cs="Times New Roman"/>
                <w:sz w:val="20"/>
                <w:szCs w:val="20"/>
              </w:rPr>
            </w:pPr>
            <w:r w:rsidRPr="00106B7E">
              <w:rPr>
                <w:rFonts w:ascii="Times New Roman" w:hAnsi="Times New Roman" w:cs="Times New Roman"/>
                <w:sz w:val="20"/>
                <w:szCs w:val="20"/>
              </w:rPr>
              <w:t>Study the UE initial search complexity of 240, 480 and 960 kHz (for other cases)</w:t>
            </w:r>
          </w:p>
          <w:p w14:paraId="05CA45B2" w14:textId="5507EFAE" w:rsidR="00043FF2" w:rsidRPr="00106B7E" w:rsidRDefault="00043FF2" w:rsidP="00B55B75">
            <w:pPr>
              <w:pStyle w:val="BodyText"/>
              <w:numPr>
                <w:ilvl w:val="0"/>
                <w:numId w:val="34"/>
              </w:numPr>
              <w:spacing w:after="0" w:line="256" w:lineRule="auto"/>
              <w:jc w:val="left"/>
              <w:rPr>
                <w:rFonts w:ascii="Times New Roman" w:hAnsi="Times New Roman" w:cs="Times New Roman"/>
                <w:sz w:val="20"/>
                <w:szCs w:val="20"/>
              </w:rPr>
            </w:pPr>
            <w:bookmarkStart w:id="6" w:name="_Hlk65746557"/>
            <w:r w:rsidRPr="00106B7E">
              <w:rPr>
                <w:rFonts w:ascii="Times New Roman" w:hAnsi="Times New Roman" w:cs="Times New Roman"/>
                <w:sz w:val="20"/>
                <w:szCs w:val="20"/>
              </w:rPr>
              <w:t>Study the initial timing resolution based on low SCS (120 and/or 240 kHz) and its impact on the performance of higher SCS data (480/960 kHz</w:t>
            </w:r>
            <w:bookmarkEnd w:id="6"/>
            <w:r w:rsidRPr="00106B7E">
              <w:rPr>
                <w:rFonts w:ascii="Times New Roman" w:hAnsi="Times New Roman" w:cs="Times New Roman"/>
                <w:sz w:val="20"/>
                <w:szCs w:val="20"/>
              </w:rPr>
              <w:t>)</w:t>
            </w:r>
          </w:p>
          <w:p w14:paraId="00CCB030" w14:textId="77777777" w:rsidR="00043FF2" w:rsidRDefault="00043FF2" w:rsidP="00FA61B8">
            <w:pPr>
              <w:pStyle w:val="BodyText"/>
              <w:tabs>
                <w:tab w:val="left" w:pos="1080"/>
              </w:tabs>
              <w:spacing w:after="0" w:line="256" w:lineRule="auto"/>
              <w:jc w:val="left"/>
            </w:pPr>
          </w:p>
        </w:tc>
      </w:tr>
    </w:tbl>
    <w:p w14:paraId="08B73030" w14:textId="77777777" w:rsidR="00A6540A" w:rsidRDefault="00A6540A" w:rsidP="00A6540A"/>
    <w:p w14:paraId="1DA5E83E" w14:textId="089581B4" w:rsidR="0004106B" w:rsidRDefault="00893C4A" w:rsidP="000A5ED3">
      <w:pPr>
        <w:jc w:val="both"/>
      </w:pPr>
      <w:r>
        <w:t xml:space="preserve">The first bullet </w:t>
      </w:r>
      <w:r w:rsidR="00A76DF2">
        <w:t xml:space="preserve">plus sub-bullet </w:t>
      </w:r>
      <w:r w:rsidR="0004106B">
        <w:t>facilitates</w:t>
      </w:r>
      <w:r>
        <w:t xml:space="preserve"> </w:t>
      </w:r>
      <w:r w:rsidR="00A76DF2">
        <w:t>large SCS for</w:t>
      </w:r>
      <w:r>
        <w:t xml:space="preserve"> </w:t>
      </w:r>
      <w:proofErr w:type="spellStart"/>
      <w:r>
        <w:t>SCells</w:t>
      </w:r>
      <w:proofErr w:type="spellEnd"/>
      <w:r>
        <w:t xml:space="preserve"> (including </w:t>
      </w:r>
      <w:proofErr w:type="spellStart"/>
      <w:r>
        <w:t>PSCell</w:t>
      </w:r>
      <w:proofErr w:type="spellEnd"/>
      <w:r>
        <w:t>)</w:t>
      </w:r>
      <w:r w:rsidR="00A76DF2">
        <w:t xml:space="preserve"> including</w:t>
      </w:r>
      <w:r w:rsidR="00740114">
        <w:t xml:space="preserve"> single numerology operation</w:t>
      </w:r>
      <w:r w:rsidR="00A76DF2">
        <w:t xml:space="preserve"> for which we are supportive for simpler implementations</w:t>
      </w:r>
      <w:r w:rsidR="00740114">
        <w:t xml:space="preserve">. </w:t>
      </w:r>
      <w:r w:rsidR="0032631F">
        <w:t>We further observe that for basic (P)</w:t>
      </w:r>
      <w:proofErr w:type="spellStart"/>
      <w:r w:rsidR="0032631F">
        <w:t>SCell</w:t>
      </w:r>
      <w:proofErr w:type="spellEnd"/>
      <w:r w:rsidR="0032631F">
        <w:t xml:space="preserve"> operation, only SS/PBCH transmission is required, i.e., the MIB can indicate that CORESET0 (and thus SIB1) is absent. Based on this analysis we make the following proposal:</w:t>
      </w:r>
    </w:p>
    <w:p w14:paraId="02DF7060" w14:textId="3A477C94" w:rsidR="0032631F" w:rsidRDefault="0032631F" w:rsidP="0032631F">
      <w:pPr>
        <w:pStyle w:val="Proposal"/>
      </w:pPr>
      <w:bookmarkStart w:id="7" w:name="_Toc68549378"/>
      <w:r>
        <w:t xml:space="preserve">For cases other than initial access (e.g. for an </w:t>
      </w:r>
      <w:proofErr w:type="spellStart"/>
      <w:r>
        <w:t>SCell</w:t>
      </w:r>
      <w:proofErr w:type="spellEnd"/>
      <w:r w:rsidR="0062389D">
        <w:t xml:space="preserve"> / </w:t>
      </w:r>
      <w:proofErr w:type="spellStart"/>
      <w:r w:rsidR="0062389D">
        <w:t>PSCell</w:t>
      </w:r>
      <w:proofErr w:type="spellEnd"/>
      <w:r>
        <w:t>), support 480 and 960 kHz SCS for SS/PBCH block.</w:t>
      </w:r>
      <w:bookmarkEnd w:id="7"/>
    </w:p>
    <w:p w14:paraId="0E668DB7" w14:textId="77777777" w:rsidR="00D33E28" w:rsidRDefault="0004106B" w:rsidP="00A6540A">
      <w:r>
        <w:t xml:space="preserve">The </w:t>
      </w:r>
      <w:r w:rsidR="0037317C">
        <w:t xml:space="preserve">second bullet </w:t>
      </w:r>
      <w:r>
        <w:t xml:space="preserve">regarding other cases </w:t>
      </w:r>
      <w:r w:rsidR="00F81BBF">
        <w:t xml:space="preserve">is rather broad and thus we will discuss different aspects separately. </w:t>
      </w:r>
    </w:p>
    <w:p w14:paraId="669F227C" w14:textId="3A4765A2" w:rsidR="00D33E28" w:rsidRDefault="00F81BBF" w:rsidP="000A5ED3">
      <w:pPr>
        <w:jc w:val="both"/>
      </w:pPr>
      <w:r>
        <w:t xml:space="preserve">We start with the case of supporting 240 kHz SS/PBCH block for initial access, i.e. when the </w:t>
      </w:r>
      <w:r w:rsidR="004D33B3">
        <w:t xml:space="preserve">center frequency and SCS of the SS/PBCH block is not explicitly signaled and the UE is required to read SIB1. </w:t>
      </w:r>
      <w:r w:rsidR="00740EBF">
        <w:t xml:space="preserve">240 kHz SS/PBCH has several advantages compared to 120 kHz SCS. For example, it allows a beam sweep to be completed in half the time compared to 120 kHz SSB, and as </w:t>
      </w:r>
      <w:r w:rsidR="00740EBF" w:rsidRPr="00AF350F">
        <w:t xml:space="preserve">thoroughly </w:t>
      </w:r>
      <w:r w:rsidR="00740EBF">
        <w:t xml:space="preserve">analyzed in </w:t>
      </w:r>
      <w:r w:rsidR="00740EBF">
        <w:fldChar w:fldCharType="begin"/>
      </w:r>
      <w:r w:rsidR="00740EBF">
        <w:instrText xml:space="preserve"> REF _Ref61361737 \r \h </w:instrText>
      </w:r>
      <w:r w:rsidR="000A5ED3">
        <w:instrText xml:space="preserve"> \* MERGEFORMAT </w:instrText>
      </w:r>
      <w:r w:rsidR="00740EBF">
        <w:fldChar w:fldCharType="separate"/>
      </w:r>
      <w:r w:rsidR="00740EBF">
        <w:t>[7]</w:t>
      </w:r>
      <w:r w:rsidR="00740EBF">
        <w:fldChar w:fldCharType="end"/>
      </w:r>
      <w:r w:rsidR="00740EBF">
        <w:t xml:space="preserve">, a 240 kHz SS/PBCH block allows a smaller relative timing error for operation in the 52.6 – 71 GHz band compared to 120 kHz SSB. Moreover, we show in </w:t>
      </w:r>
      <w:r w:rsidR="00740EBF">
        <w:fldChar w:fldCharType="begin"/>
      </w:r>
      <w:r w:rsidR="00740EBF">
        <w:instrText xml:space="preserve"> REF _Ref61860387 \r \h </w:instrText>
      </w:r>
      <w:r w:rsidR="000A5ED3">
        <w:instrText xml:space="preserve"> \* MERGEFORMAT </w:instrText>
      </w:r>
      <w:r w:rsidR="00740EBF">
        <w:fldChar w:fldCharType="separate"/>
      </w:r>
      <w:r w:rsidR="00740EBF">
        <w:t>[8]</w:t>
      </w:r>
      <w:r w:rsidR="00740EBF">
        <w:fldChar w:fldCharType="end"/>
      </w:r>
      <w:r w:rsidR="00740EBF">
        <w:t xml:space="preserve"> that for the case of 960 kHz for data/control, use of 240 kHz SCS for SS/PBCH block can allow a similar relative UE initial timing error requirement as for FR1 (minimum 0.5%). Relative UE initial timing error is defined as </w:t>
      </w:r>
      <w:proofErr w:type="spellStart"/>
      <w:r w:rsidR="00740EBF">
        <w:t>T</w:t>
      </w:r>
      <w:r w:rsidR="00740EBF" w:rsidRPr="00DC4504">
        <w:rPr>
          <w:vertAlign w:val="subscript"/>
        </w:rPr>
        <w:t>e</w:t>
      </w:r>
      <w:proofErr w:type="spellEnd"/>
      <w:r w:rsidR="00740EBF">
        <w:t xml:space="preserve"> expressed as a percentage of 1/SCS</w:t>
      </w:r>
      <w:r w:rsidR="00740EBF" w:rsidRPr="00DC4504">
        <w:rPr>
          <w:vertAlign w:val="subscript"/>
        </w:rPr>
        <w:t>SSB</w:t>
      </w:r>
      <w:r w:rsidR="00740EBF">
        <w:t xml:space="preserve">. </w:t>
      </w:r>
    </w:p>
    <w:p w14:paraId="78E466BC" w14:textId="38CE8ED4" w:rsidR="00740EBF" w:rsidRDefault="00D33E28" w:rsidP="000A5ED3">
      <w:pPr>
        <w:jc w:val="both"/>
      </w:pPr>
      <w:r>
        <w:t>In Section 2.1.</w:t>
      </w:r>
      <w:r w:rsidR="00643526">
        <w:t>3</w:t>
      </w:r>
      <w:r>
        <w:t xml:space="preserve"> we show that the search complexity for operation in the 52.6 – 71 GHz band while supporting both 120 kHz and 240 kHz SSB as in FR2 can be maintained on the same level as per band in FR2. </w:t>
      </w:r>
      <w:r w:rsidR="00740EBF">
        <w:t>If 240 kHz SS/PBCH block is supported for initial access, obviously it would be supported for non-initial access as well.</w:t>
      </w:r>
      <w:r>
        <w:t xml:space="preserve"> Based on this analysis we make the following proposal:</w:t>
      </w:r>
    </w:p>
    <w:p w14:paraId="3D36E836" w14:textId="7D2D6A13" w:rsidR="006D78C4" w:rsidRPr="00512993" w:rsidRDefault="006D78C4" w:rsidP="006D78C4">
      <w:pPr>
        <w:pStyle w:val="Proposal"/>
      </w:pPr>
      <w:bookmarkStart w:id="8" w:name="_Toc68549379"/>
      <w:r>
        <w:t xml:space="preserve">Like </w:t>
      </w:r>
      <w:r w:rsidR="00A364A7">
        <w:t>for FR2 in</w:t>
      </w:r>
      <w:r>
        <w:t xml:space="preserve"> Rel-15/16, f</w:t>
      </w:r>
      <w:r w:rsidRPr="00512993">
        <w:t>or initial access (</w:t>
      </w:r>
      <w:proofErr w:type="spellStart"/>
      <w:r w:rsidRPr="00512993">
        <w:t>PCell</w:t>
      </w:r>
      <w:proofErr w:type="spellEnd"/>
      <w:r w:rsidRPr="00512993">
        <w:t>), support</w:t>
      </w:r>
      <w:r w:rsidR="00A364A7">
        <w:t xml:space="preserve"> the following SCS combination in an initial BWP:</w:t>
      </w:r>
      <w:r w:rsidRPr="00512993">
        <w:t xml:space="preserve"> 240 kHz</w:t>
      </w:r>
      <w:r>
        <w:t xml:space="preserve"> SCS for</w:t>
      </w:r>
      <w:r w:rsidRPr="00512993">
        <w:t xml:space="preserve"> SS</w:t>
      </w:r>
      <w:r>
        <w:t>/P</w:t>
      </w:r>
      <w:r w:rsidRPr="00512993">
        <w:t>B</w:t>
      </w:r>
      <w:r>
        <w:t>CH block</w:t>
      </w:r>
      <w:r w:rsidRPr="00512993">
        <w:t xml:space="preserve"> </w:t>
      </w:r>
      <w:r w:rsidR="00A364A7">
        <w:t xml:space="preserve">+ </w:t>
      </w:r>
      <w:r w:rsidRPr="00512993">
        <w:t>120 kHz</w:t>
      </w:r>
      <w:r>
        <w:t xml:space="preserve"> SCS</w:t>
      </w:r>
      <w:r w:rsidRPr="00512993">
        <w:t xml:space="preserve"> for initial access related signals/channels</w:t>
      </w:r>
      <w:r>
        <w:t>.</w:t>
      </w:r>
      <w:bookmarkEnd w:id="8"/>
      <w:r w:rsidR="00DA3D3A">
        <w:t xml:space="preserve"> Note: this is in addition to the already supported (120,120) combination.</w:t>
      </w:r>
    </w:p>
    <w:p w14:paraId="017C951F" w14:textId="269E74B8" w:rsidR="00FC4226" w:rsidRDefault="00555D45" w:rsidP="000A5ED3">
      <w:pPr>
        <w:jc w:val="both"/>
      </w:pPr>
      <w:r>
        <w:t xml:space="preserve">Regarding supporting 480/960 kHz </w:t>
      </w:r>
      <w:r w:rsidR="006A38DC">
        <w:t xml:space="preserve">for initial access, we don’t see a strong motivation to support that. Like we discuss in Section </w:t>
      </w:r>
      <w:r w:rsidR="000B70BF">
        <w:t>2</w:t>
      </w:r>
      <w:r w:rsidR="006A38DC">
        <w:t xml:space="preserve">, coverage is severely limited when using higher SCS. In addition, only small changes in the environment or UE position can cause timing changes that are on the same order as the cyclic prefix, making the link very </w:t>
      </w:r>
      <w:r w:rsidR="00D33E28">
        <w:t>sensitive</w:t>
      </w:r>
      <w:r w:rsidR="006A38DC">
        <w:t xml:space="preserve">. So, to summarize, we don’t think 480/960 kHz </w:t>
      </w:r>
      <w:r w:rsidR="00D33E28">
        <w:t>is</w:t>
      </w:r>
      <w:r w:rsidR="006A38DC">
        <w:t xml:space="preserve"> suited for a </w:t>
      </w:r>
      <w:proofErr w:type="spellStart"/>
      <w:r w:rsidR="006A38DC">
        <w:t>PCell</w:t>
      </w:r>
      <w:proofErr w:type="spellEnd"/>
      <w:r w:rsidR="006A38DC">
        <w:t>.</w:t>
      </w:r>
    </w:p>
    <w:p w14:paraId="28D64E18" w14:textId="3113CF45" w:rsidR="00643526" w:rsidRDefault="00643526" w:rsidP="00643526">
      <w:pPr>
        <w:pStyle w:val="Heading3"/>
      </w:pPr>
      <w:r>
        <w:t>2.1.2</w:t>
      </w:r>
      <w:r>
        <w:tab/>
        <w:t>SSB-based initial timing resolution</w:t>
      </w:r>
    </w:p>
    <w:tbl>
      <w:tblPr>
        <w:tblStyle w:val="TableGrid"/>
        <w:tblW w:w="0" w:type="auto"/>
        <w:tblLook w:val="04A0" w:firstRow="1" w:lastRow="0" w:firstColumn="1" w:lastColumn="0" w:noHBand="0" w:noVBand="1"/>
      </w:tblPr>
      <w:tblGrid>
        <w:gridCol w:w="9629"/>
      </w:tblGrid>
      <w:tr w:rsidR="00643526" w14:paraId="46AF9E10" w14:textId="77777777" w:rsidTr="0096494C">
        <w:tc>
          <w:tcPr>
            <w:tcW w:w="9629" w:type="dxa"/>
          </w:tcPr>
          <w:p w14:paraId="407EB873" w14:textId="77777777" w:rsidR="00643526" w:rsidRPr="00106B7E" w:rsidRDefault="00643526" w:rsidP="0096494C">
            <w:pPr>
              <w:spacing w:after="0"/>
              <w:rPr>
                <w:rFonts w:ascii="Times New Roman" w:hAnsi="Times New Roman" w:cs="Times New Roman"/>
                <w:sz w:val="20"/>
                <w:szCs w:val="20"/>
              </w:rPr>
            </w:pPr>
            <w:r w:rsidRPr="00106B7E">
              <w:rPr>
                <w:rFonts w:ascii="Times New Roman" w:hAnsi="Times New Roman" w:cs="Times New Roman"/>
                <w:sz w:val="20"/>
                <w:szCs w:val="20"/>
                <w:highlight w:val="green"/>
                <w:lang w:val="en-GB"/>
              </w:rPr>
              <w:t>Agreement</w:t>
            </w:r>
            <w:r w:rsidRPr="00106B7E">
              <w:rPr>
                <w:rFonts w:ascii="Times New Roman" w:hAnsi="Times New Roman" w:cs="Times New Roman"/>
                <w:sz w:val="20"/>
                <w:szCs w:val="20"/>
                <w:lang w:val="en-GB"/>
              </w:rPr>
              <w:t>:</w:t>
            </w:r>
          </w:p>
          <w:p w14:paraId="5876E36D" w14:textId="77777777" w:rsidR="00643526" w:rsidRPr="00106B7E" w:rsidRDefault="00643526" w:rsidP="0096494C">
            <w:pPr>
              <w:spacing w:after="0"/>
              <w:rPr>
                <w:rFonts w:ascii="Times New Roman" w:hAnsi="Times New Roman" w:cs="Times New Roman"/>
                <w:sz w:val="20"/>
                <w:szCs w:val="20"/>
              </w:rPr>
            </w:pPr>
            <w:r w:rsidRPr="00106B7E">
              <w:rPr>
                <w:rFonts w:ascii="Times New Roman" w:hAnsi="Times New Roman" w:cs="Times New Roman"/>
                <w:sz w:val="20"/>
                <w:szCs w:val="20"/>
                <w:lang w:val="en-GB"/>
              </w:rPr>
              <w:t>For CORESET#0 and Type0-PDCCH search space configured in MIB:</w:t>
            </w:r>
          </w:p>
          <w:p w14:paraId="63FFA9A8" w14:textId="77777777" w:rsidR="00643526" w:rsidRPr="00106B7E" w:rsidRDefault="00643526" w:rsidP="0096494C">
            <w:pPr>
              <w:numPr>
                <w:ilvl w:val="0"/>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Support {SS/PBCH Block, CORESET#0 for Type0-PDCCH} SCS equal to {120, 120} kHz</w:t>
            </w:r>
          </w:p>
          <w:p w14:paraId="621C82CC" w14:textId="77777777" w:rsidR="00643526" w:rsidRPr="00106B7E" w:rsidRDefault="00643526" w:rsidP="0096494C">
            <w:pPr>
              <w:numPr>
                <w:ilvl w:val="1"/>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Support at least SSB and CORESET#0 multiplexing patterns, number of RBs for CORESET#0, number of symbols (duration of CORESET#0) that are supported in Rel-15/16 for {SS/PBCH Block, CORESET#0 for Type0-PDCCH} SCS = {120, 120} kHz.</w:t>
            </w:r>
          </w:p>
          <w:p w14:paraId="7AD2B41B" w14:textId="77777777" w:rsidR="00643526" w:rsidRPr="00106B7E" w:rsidRDefault="00643526" w:rsidP="0096494C">
            <w:pPr>
              <w:numPr>
                <w:ilvl w:val="2"/>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FFS: Supporting additional values</w:t>
            </w:r>
          </w:p>
          <w:p w14:paraId="00547483" w14:textId="77777777" w:rsidR="00643526" w:rsidRPr="00106B7E" w:rsidRDefault="00643526" w:rsidP="0096494C">
            <w:pPr>
              <w:numPr>
                <w:ilvl w:val="1"/>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FFS: Supported values for SSB to CORESET#0 offset RBs</w:t>
            </w:r>
          </w:p>
          <w:p w14:paraId="43066D14" w14:textId="77777777" w:rsidR="00643526" w:rsidRPr="00106B7E" w:rsidRDefault="00643526" w:rsidP="0096494C">
            <w:pPr>
              <w:numPr>
                <w:ilvl w:val="0"/>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If 480kHz SSB SCS that configures CORESET#0 and Type0-PDCCH CSS in MIB is agreed to be supported,</w:t>
            </w:r>
          </w:p>
          <w:p w14:paraId="6893678A" w14:textId="77777777" w:rsidR="00643526" w:rsidRPr="00106B7E" w:rsidRDefault="00643526" w:rsidP="0096494C">
            <w:pPr>
              <w:numPr>
                <w:ilvl w:val="1"/>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Support {SS/PBCH Block, CORESET#0 for Type0-PDCCH} SCS equal to {480, 480} kHz</w:t>
            </w:r>
          </w:p>
          <w:p w14:paraId="79F80819" w14:textId="77777777" w:rsidR="00643526" w:rsidRPr="00106B7E" w:rsidRDefault="00643526" w:rsidP="0096494C">
            <w:pPr>
              <w:numPr>
                <w:ilvl w:val="0"/>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If 960 kHz SSB SCS that configures CORESET#0 and Type0-PDCCH CSS in MIB is agreed to be supported,</w:t>
            </w:r>
          </w:p>
          <w:p w14:paraId="3B5BA7A9" w14:textId="77777777" w:rsidR="00643526" w:rsidRPr="00106B7E" w:rsidRDefault="00643526" w:rsidP="0096494C">
            <w:pPr>
              <w:numPr>
                <w:ilvl w:val="1"/>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Support {SS/PBCH Block, CORESET#0 for Type0-PDCCH} SCS equal to {960, 960} kHz</w:t>
            </w:r>
          </w:p>
          <w:p w14:paraId="463BCC8B" w14:textId="77777777" w:rsidR="00643526" w:rsidRPr="00106B7E" w:rsidRDefault="00643526" w:rsidP="0096494C">
            <w:pPr>
              <w:numPr>
                <w:ilvl w:val="0"/>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If 240 kHz SSB SCS is agreed to be supported,</w:t>
            </w:r>
          </w:p>
          <w:p w14:paraId="7F22DBA4" w14:textId="77777777" w:rsidR="00643526" w:rsidRPr="00106B7E" w:rsidRDefault="00643526" w:rsidP="0096494C">
            <w:pPr>
              <w:numPr>
                <w:ilvl w:val="1"/>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Support {SS/PBCH Block, CORESET#0 for Type0-PDCCH} SCS equal to {240, 120} kHz</w:t>
            </w:r>
          </w:p>
          <w:p w14:paraId="77511909" w14:textId="77777777" w:rsidR="00643526" w:rsidRPr="00106B7E" w:rsidRDefault="00643526" w:rsidP="0096494C">
            <w:pPr>
              <w:numPr>
                <w:ilvl w:val="0"/>
                <w:numId w:val="36"/>
              </w:numPr>
              <w:spacing w:after="0"/>
              <w:rPr>
                <w:rFonts w:ascii="Times New Roman" w:hAnsi="Times New Roman" w:cs="Times New Roman"/>
                <w:sz w:val="20"/>
                <w:szCs w:val="20"/>
              </w:rPr>
            </w:pPr>
            <w:r w:rsidRPr="00106B7E">
              <w:rPr>
                <w:rFonts w:ascii="Times New Roman" w:hAnsi="Times New Roman" w:cs="Times New Roman"/>
                <w:sz w:val="20"/>
                <w:szCs w:val="20"/>
                <w:lang w:val="en-GB"/>
              </w:rPr>
              <w:t>FFS: any other combinations between one of SSB SCS (120, 240, 480, 960) and one of CORESET#0 SCS (120, 480, 960)</w:t>
            </w:r>
          </w:p>
          <w:p w14:paraId="7D3A7536" w14:textId="77777777" w:rsidR="00643526" w:rsidRPr="00585218" w:rsidRDefault="00643526" w:rsidP="0096494C">
            <w:pPr>
              <w:spacing w:after="0"/>
              <w:rPr>
                <w:sz w:val="20"/>
                <w:szCs w:val="20"/>
                <w:lang w:val="en-GB"/>
              </w:rPr>
            </w:pPr>
            <w:r w:rsidRPr="00106B7E">
              <w:rPr>
                <w:rFonts w:ascii="Times New Roman" w:hAnsi="Times New Roman" w:cs="Times New Roman"/>
                <w:sz w:val="20"/>
                <w:szCs w:val="20"/>
                <w:highlight w:val="yellow"/>
                <w:lang w:val="en-GB"/>
              </w:rPr>
              <w:t>FFS: initial timing resolution based on low SCS (120 kHz) and its impact on the performance of higher SCS (480/960 kHz)</w:t>
            </w:r>
          </w:p>
        </w:tc>
      </w:tr>
    </w:tbl>
    <w:p w14:paraId="5A4FB8FB" w14:textId="77777777" w:rsidR="00643526" w:rsidRDefault="00643526" w:rsidP="00643526"/>
    <w:p w14:paraId="3F7867F9" w14:textId="77777777" w:rsidR="00643526" w:rsidRDefault="00643526" w:rsidP="000A5ED3">
      <w:pPr>
        <w:jc w:val="both"/>
      </w:pPr>
      <w:r>
        <w:t xml:space="preserve">In the above agreement, there is also one FFS regarding initial timing resolution based on low SCS (120 and/or 240 kHz) and its impact on the performance of higher SCS data (480/960 kHz). </w:t>
      </w:r>
    </w:p>
    <w:p w14:paraId="09399FCA" w14:textId="77777777" w:rsidR="00643526" w:rsidRDefault="00643526" w:rsidP="000A5ED3">
      <w:pPr>
        <w:jc w:val="both"/>
      </w:pPr>
      <w:r>
        <w:t>For the case when the higher SCS is used for another cell (</w:t>
      </w:r>
      <w:proofErr w:type="spellStart"/>
      <w:r>
        <w:t>PSCell</w:t>
      </w:r>
      <w:proofErr w:type="spellEnd"/>
      <w:r>
        <w:t xml:space="preserve"> or </w:t>
      </w:r>
      <w:proofErr w:type="spellStart"/>
      <w:r>
        <w:t>SCell</w:t>
      </w:r>
      <w:proofErr w:type="spellEnd"/>
      <w:r>
        <w:t xml:space="preserve">) and that cell also has an SS/PBCH block with the higher SCS, cells with lower SCS and higher SCS can be put in different timing advance groups. By doing so, the </w:t>
      </w:r>
      <w:proofErr w:type="spellStart"/>
      <w:r>
        <w:t>gNB</w:t>
      </w:r>
      <w:proofErr w:type="spellEnd"/>
      <w:r>
        <w:t xml:space="preserve"> can adjust the timing of the two groups independently and the UE can estimate the timing for the high SCS cells based on the high SCS SS/PBCH block. </w:t>
      </w:r>
    </w:p>
    <w:p w14:paraId="02B3C42E" w14:textId="69EBFF96" w:rsidR="00643526" w:rsidRDefault="00643526" w:rsidP="000A5ED3">
      <w:pPr>
        <w:jc w:val="both"/>
      </w:pPr>
      <w:r>
        <w:t>For the case when the two SCS are used in the same cell, as discussed in Section 2.1.1, using 240 kHz SS/PBCH block SCS allows a similar relative UE initial timing error requirement as for FR1 (minimum 0.5%) even for 960 kHz data.</w:t>
      </w:r>
    </w:p>
    <w:p w14:paraId="4579CA3D" w14:textId="116F4DB6" w:rsidR="00643526" w:rsidRDefault="00643526" w:rsidP="00D35DFF">
      <w:pPr>
        <w:pStyle w:val="Observation"/>
        <w:ind w:left="1710" w:hanging="1710"/>
      </w:pPr>
      <w:bookmarkStart w:id="9" w:name="_Toc68549371"/>
      <w:r>
        <w:t xml:space="preserve">Putting cells with low/high SCS in different timing advance groups allows timing to be adjusted independently. For mixed numerology operation, using 240 kHz SS/PBCH block allows a similar relative UE initial error requirement as for FR1 even for </w:t>
      </w:r>
      <w:r w:rsidR="00D35DFF">
        <w:t xml:space="preserve">data channels operating on </w:t>
      </w:r>
      <w:r>
        <w:t>960 kHz.</w:t>
      </w:r>
      <w:bookmarkEnd w:id="9"/>
    </w:p>
    <w:p w14:paraId="4A83ED71" w14:textId="6CCFE652" w:rsidR="004C65D2" w:rsidRDefault="006463A4" w:rsidP="00D35DFF">
      <w:pPr>
        <w:pStyle w:val="Heading3"/>
      </w:pPr>
      <w:r w:rsidRPr="002926A1">
        <w:t>2.1.</w:t>
      </w:r>
      <w:r w:rsidR="00D35DFF">
        <w:t>3</w:t>
      </w:r>
      <w:r w:rsidR="004C65D2" w:rsidRPr="002926A1">
        <w:tab/>
        <w:t>SSB</w:t>
      </w:r>
      <w:r w:rsidR="00643526">
        <w:t xml:space="preserve">-CORESET0 </w:t>
      </w:r>
      <w:r w:rsidR="00D35DFF">
        <w:t>o</w:t>
      </w:r>
      <w:r w:rsidR="00643526">
        <w:t xml:space="preserve">ffsets and UE SSB </w:t>
      </w:r>
      <w:r w:rsidR="00D35DFF">
        <w:t>s</w:t>
      </w:r>
      <w:r w:rsidR="00643526">
        <w:t xml:space="preserve">earch </w:t>
      </w:r>
      <w:r w:rsidR="00D35DFF">
        <w:t>c</w:t>
      </w:r>
      <w:r w:rsidR="00643526">
        <w:t>omplexity</w:t>
      </w:r>
      <w:r w:rsidR="004C65D2" w:rsidRPr="002926A1">
        <w:t xml:space="preserve"> </w:t>
      </w:r>
    </w:p>
    <w:p w14:paraId="562A04E1" w14:textId="10C35F8E" w:rsidR="00F05B9E" w:rsidRDefault="00796E03" w:rsidP="004C65D2">
      <w:r>
        <w:t>In RAN1#104e, the following agreement</w:t>
      </w:r>
      <w:r w:rsidR="00414428">
        <w:t>s</w:t>
      </w:r>
      <w:r>
        <w:t xml:space="preserve"> w</w:t>
      </w:r>
      <w:r w:rsidR="00414428">
        <w:t>ere</w:t>
      </w:r>
      <w:r>
        <w:t xml:space="preserve"> made</w:t>
      </w:r>
      <w:r w:rsidR="00F05B9E">
        <w:t>:</w:t>
      </w:r>
    </w:p>
    <w:p w14:paraId="08A57D67" w14:textId="31662BA5" w:rsidR="00796E03" w:rsidRDefault="00796E03" w:rsidP="004C65D2">
      <w:r>
        <w:rPr>
          <w:noProof/>
        </w:rPr>
        <mc:AlternateContent>
          <mc:Choice Requires="wps">
            <w:drawing>
              <wp:anchor distT="45720" distB="45720" distL="114300" distR="114300" simplePos="0" relativeHeight="251658240" behindDoc="0" locked="0" layoutInCell="1" allowOverlap="1" wp14:anchorId="7F33E260" wp14:editId="6EA9CF81">
                <wp:simplePos x="0" y="0"/>
                <wp:positionH relativeFrom="column">
                  <wp:posOffset>-19050</wp:posOffset>
                </wp:positionH>
                <wp:positionV relativeFrom="paragraph">
                  <wp:posOffset>371475</wp:posOffset>
                </wp:positionV>
                <wp:extent cx="6362700" cy="1404620"/>
                <wp:effectExtent l="0" t="0" r="1905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404620"/>
                        </a:xfrm>
                        <a:prstGeom prst="rect">
                          <a:avLst/>
                        </a:prstGeom>
                        <a:solidFill>
                          <a:srgbClr val="FFFFFF"/>
                        </a:solidFill>
                        <a:ln w="9525">
                          <a:solidFill>
                            <a:srgbClr val="000000"/>
                          </a:solidFill>
                          <a:miter lim="800000"/>
                          <a:headEnd/>
                          <a:tailEnd/>
                        </a:ln>
                      </wps:spPr>
                      <wps:txbx>
                        <w:txbxContent>
                          <w:p w14:paraId="5E0EBEE7" w14:textId="4260FE13" w:rsidR="007A5CC6" w:rsidRPr="00106B7E" w:rsidRDefault="007A5CC6" w:rsidP="00FA61B8">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76BE9163" w14:textId="77777777" w:rsidR="007A5CC6" w:rsidRPr="00106B7E" w:rsidRDefault="007A5CC6" w:rsidP="00FA61B8">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07DC6B45"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2E0BE38D"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19255584" w14:textId="77777777" w:rsidR="007A5CC6" w:rsidRPr="00106B7E" w:rsidRDefault="007A5CC6" w:rsidP="00FA61B8">
                            <w:pPr>
                              <w:numPr>
                                <w:ilvl w:val="2"/>
                                <w:numId w:val="36"/>
                              </w:numPr>
                              <w:spacing w:after="0"/>
                              <w:rPr>
                                <w:rFonts w:ascii="Times New Roman" w:hAnsi="Times New Roman" w:cs="Times New Roman"/>
                              </w:rPr>
                            </w:pPr>
                            <w:r w:rsidRPr="00106B7E">
                              <w:rPr>
                                <w:rFonts w:ascii="Times New Roman" w:hAnsi="Times New Roman" w:cs="Times New Roman"/>
                                <w:lang w:val="en-GB"/>
                              </w:rPr>
                              <w:t>FFS: Supporting additional values</w:t>
                            </w:r>
                          </w:p>
                          <w:p w14:paraId="484E72C2"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FFS: Supported values for SSB to CORESET#0 offset RBs</w:t>
                            </w:r>
                          </w:p>
                          <w:p w14:paraId="04955319"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6FA198A8"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{480, 480} kHz</w:t>
                            </w:r>
                          </w:p>
                          <w:p w14:paraId="256A562D"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7B78BA9C"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{960, 960} kHz</w:t>
                            </w:r>
                          </w:p>
                          <w:p w14:paraId="619BF0B3"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366DF0F3"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32C15FA9"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47CC186D" w14:textId="65427A76" w:rsidR="007A5CC6" w:rsidRPr="00106B7E" w:rsidRDefault="007A5CC6">
                            <w:pPr>
                              <w:spacing w:after="0"/>
                              <w:rPr>
                                <w:rFonts w:ascii="Times New Roman" w:hAnsi="Times New Roman" w:cs="Times New Roman"/>
                                <w:lang w:val="en-GB"/>
                              </w:rPr>
                            </w:pPr>
                            <w:r w:rsidRPr="00106B7E">
                              <w:rPr>
                                <w:rFonts w:ascii="Times New Roman" w:hAnsi="Times New Roman" w:cs="Times New Roman"/>
                                <w:lang w:val="en-GB"/>
                              </w:rPr>
                              <w:t>FFS: initial timing resolution based on low SCS (120 kHz) and its impact on the performance of higher SCS (480/960 kHz)</w:t>
                            </w:r>
                          </w:p>
                          <w:p w14:paraId="77663C74" w14:textId="282A2042" w:rsidR="007A5CC6" w:rsidRPr="00106B7E" w:rsidRDefault="007A5CC6">
                            <w:pPr>
                              <w:spacing w:after="0"/>
                              <w:rPr>
                                <w:rFonts w:ascii="Times New Roman" w:hAnsi="Times New Roman" w:cs="Times New Roman"/>
                                <w:lang w:val="en-GB"/>
                              </w:rPr>
                            </w:pPr>
                          </w:p>
                          <w:p w14:paraId="531F0465" w14:textId="77777777" w:rsidR="007A5CC6" w:rsidRPr="00106B7E" w:rsidRDefault="007A5CC6" w:rsidP="00FA61B8">
                            <w:pPr>
                              <w:spacing w:after="0"/>
                              <w:rPr>
                                <w:rFonts w:ascii="Times New Roman" w:hAnsi="Times New Roman" w:cs="Times New Roman"/>
                                <w:lang w:eastAsia="x-none"/>
                              </w:rPr>
                            </w:pPr>
                            <w:r w:rsidRPr="00106B7E">
                              <w:rPr>
                                <w:rFonts w:ascii="Times New Roman" w:hAnsi="Times New Roman" w:cs="Times New Roman"/>
                                <w:highlight w:val="green"/>
                                <w:lang w:eastAsia="x-none"/>
                              </w:rPr>
                              <w:t>Agreement</w:t>
                            </w:r>
                            <w:r w:rsidRPr="00106B7E">
                              <w:rPr>
                                <w:rFonts w:ascii="Times New Roman" w:hAnsi="Times New Roman" w:cs="Times New Roman"/>
                                <w:lang w:eastAsia="x-none"/>
                              </w:rPr>
                              <w:t>:</w:t>
                            </w:r>
                          </w:p>
                          <w:p w14:paraId="67F8673D"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 xml:space="preserve">From RAN1 perspective, for NR operation in 52.6 GHz to 71 GHz, at least the following options on minimum channel bandwidth are identified. </w:t>
                            </w:r>
                          </w:p>
                          <w:p w14:paraId="3F9D731D"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120 kHz SCS</w:t>
                            </w:r>
                          </w:p>
                          <w:p w14:paraId="16560537"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1-1: 100 MHz</w:t>
                            </w:r>
                          </w:p>
                          <w:p w14:paraId="7D12D51C"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1-2: 200 MHz</w:t>
                            </w:r>
                          </w:p>
                          <w:p w14:paraId="568693F9"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1-3: 400 MHz</w:t>
                            </w:r>
                          </w:p>
                          <w:p w14:paraId="03E79A97"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480 kHz SCS</w:t>
                            </w:r>
                          </w:p>
                          <w:p w14:paraId="6722523E"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2-1: 200 MHz</w:t>
                            </w:r>
                          </w:p>
                          <w:p w14:paraId="2ABA07FD"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2-2: 400 MHz</w:t>
                            </w:r>
                          </w:p>
                          <w:p w14:paraId="3DD14B3A"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960 kHz SCS</w:t>
                            </w:r>
                          </w:p>
                          <w:p w14:paraId="213FD381"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3-1: 400 MHz</w:t>
                            </w:r>
                          </w:p>
                          <w:p w14:paraId="28A1B0C4"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3-2: 800 MHz</w:t>
                            </w:r>
                          </w:p>
                          <w:p w14:paraId="5E070BD2"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3-3: same value as the maximum channel bandwidth for 960 kHz SCS</w:t>
                            </w:r>
                          </w:p>
                          <w:p w14:paraId="4F5D4F1B"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Further study in RAN1 the above options’ implications on RAN1 design and specification</w:t>
                            </w:r>
                          </w:p>
                          <w:p w14:paraId="49B09427"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Send LS to RAN4 to inform about RAN1’s identified options of minimum channel bandwidth and ask RAN4 to decide and feedback the minimum channel bandwidth</w:t>
                            </w:r>
                          </w:p>
                          <w:p w14:paraId="73245007" w14:textId="77777777" w:rsidR="007A5CC6" w:rsidRDefault="007A5CC6">
                            <w:pPr>
                              <w:spacing w:after="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33E260" id="_x0000_t202" coordsize="21600,21600" o:spt="202" path="m,l,21600r21600,l21600,xe">
                <v:stroke joinstyle="miter"/>
                <v:path gradientshapeok="t" o:connecttype="rect"/>
              </v:shapetype>
              <v:shape id="Text Box 2" o:spid="_x0000_s1026" type="#_x0000_t202" style="position:absolute;margin-left:-1.5pt;margin-top:29.25pt;width:50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">
                <v:textbox style="mso-fit-shape-to-text:t">
                  <w:txbxContent>
                    <w:p w14:paraId="5E0EBEE7" w14:textId="4260FE13" w:rsidR="007A5CC6" w:rsidRPr="00106B7E" w:rsidRDefault="007A5CC6" w:rsidP="00FA61B8">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76BE9163" w14:textId="77777777" w:rsidR="007A5CC6" w:rsidRPr="00106B7E" w:rsidRDefault="007A5CC6" w:rsidP="00FA61B8">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07DC6B45"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2E0BE38D"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19255584" w14:textId="77777777" w:rsidR="007A5CC6" w:rsidRPr="00106B7E" w:rsidRDefault="007A5CC6" w:rsidP="00FA61B8">
                      <w:pPr>
                        <w:numPr>
                          <w:ilvl w:val="2"/>
                          <w:numId w:val="36"/>
                        </w:numPr>
                        <w:spacing w:after="0"/>
                        <w:rPr>
                          <w:rFonts w:ascii="Times New Roman" w:hAnsi="Times New Roman" w:cs="Times New Roman"/>
                        </w:rPr>
                      </w:pPr>
                      <w:r w:rsidRPr="00106B7E">
                        <w:rPr>
                          <w:rFonts w:ascii="Times New Roman" w:hAnsi="Times New Roman" w:cs="Times New Roman"/>
                          <w:lang w:val="en-GB"/>
                        </w:rPr>
                        <w:t>FFS: Supporting additional values</w:t>
                      </w:r>
                    </w:p>
                    <w:p w14:paraId="484E72C2"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FFS: Supported values for SSB to CORESET#0 offset RBs</w:t>
                      </w:r>
                    </w:p>
                    <w:p w14:paraId="04955319"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6FA198A8"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{480, 480} kHz</w:t>
                      </w:r>
                    </w:p>
                    <w:p w14:paraId="256A562D"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7B78BA9C"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{960, 960} kHz</w:t>
                      </w:r>
                    </w:p>
                    <w:p w14:paraId="619BF0B3"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366DF0F3" w14:textId="77777777" w:rsidR="007A5CC6" w:rsidRPr="00106B7E" w:rsidRDefault="007A5CC6" w:rsidP="00FA61B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32C15FA9" w14:textId="77777777" w:rsidR="007A5CC6" w:rsidRPr="00106B7E" w:rsidRDefault="007A5CC6" w:rsidP="00FA61B8">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47CC186D" w14:textId="65427A76" w:rsidR="007A5CC6" w:rsidRPr="00106B7E" w:rsidRDefault="007A5CC6">
                      <w:pPr>
                        <w:spacing w:after="0"/>
                        <w:rPr>
                          <w:rFonts w:ascii="Times New Roman" w:hAnsi="Times New Roman" w:cs="Times New Roman"/>
                          <w:lang w:val="en-GB"/>
                        </w:rPr>
                      </w:pPr>
                      <w:r w:rsidRPr="00106B7E">
                        <w:rPr>
                          <w:rFonts w:ascii="Times New Roman" w:hAnsi="Times New Roman" w:cs="Times New Roman"/>
                          <w:lang w:val="en-GB"/>
                        </w:rPr>
                        <w:t>FFS: initial timing resolution based on low SCS (120 kHz) and its impact on the performance of higher SCS (480/960 kHz)</w:t>
                      </w:r>
                    </w:p>
                    <w:p w14:paraId="77663C74" w14:textId="282A2042" w:rsidR="007A5CC6" w:rsidRPr="00106B7E" w:rsidRDefault="007A5CC6">
                      <w:pPr>
                        <w:spacing w:after="0"/>
                        <w:rPr>
                          <w:rFonts w:ascii="Times New Roman" w:hAnsi="Times New Roman" w:cs="Times New Roman"/>
                          <w:lang w:val="en-GB"/>
                        </w:rPr>
                      </w:pPr>
                    </w:p>
                    <w:p w14:paraId="531F0465" w14:textId="77777777" w:rsidR="007A5CC6" w:rsidRPr="00106B7E" w:rsidRDefault="007A5CC6" w:rsidP="00FA61B8">
                      <w:pPr>
                        <w:spacing w:after="0"/>
                        <w:rPr>
                          <w:rFonts w:ascii="Times New Roman" w:hAnsi="Times New Roman" w:cs="Times New Roman"/>
                          <w:lang w:eastAsia="x-none"/>
                        </w:rPr>
                      </w:pPr>
                      <w:r w:rsidRPr="00106B7E">
                        <w:rPr>
                          <w:rFonts w:ascii="Times New Roman" w:hAnsi="Times New Roman" w:cs="Times New Roman"/>
                          <w:highlight w:val="green"/>
                          <w:lang w:eastAsia="x-none"/>
                        </w:rPr>
                        <w:t>Agreement</w:t>
                      </w:r>
                      <w:r w:rsidRPr="00106B7E">
                        <w:rPr>
                          <w:rFonts w:ascii="Times New Roman" w:hAnsi="Times New Roman" w:cs="Times New Roman"/>
                          <w:lang w:eastAsia="x-none"/>
                        </w:rPr>
                        <w:t>:</w:t>
                      </w:r>
                    </w:p>
                    <w:p w14:paraId="67F8673D"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 xml:space="preserve">From RAN1 perspective, for NR operation in 52.6 GHz to 71 GHz, at least the following options on minimum channel bandwidth are identified. </w:t>
                      </w:r>
                    </w:p>
                    <w:p w14:paraId="3F9D731D"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120 kHz SCS</w:t>
                      </w:r>
                    </w:p>
                    <w:p w14:paraId="16560537"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1-1: 100 MHz</w:t>
                      </w:r>
                    </w:p>
                    <w:p w14:paraId="7D12D51C"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1-2: 200 MHz</w:t>
                      </w:r>
                    </w:p>
                    <w:p w14:paraId="568693F9"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1-3: 400 MHz</w:t>
                      </w:r>
                    </w:p>
                    <w:p w14:paraId="03E79A97"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480 kHz SCS</w:t>
                      </w:r>
                    </w:p>
                    <w:p w14:paraId="6722523E"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2-1: 200 MHz</w:t>
                      </w:r>
                    </w:p>
                    <w:p w14:paraId="2ABA07FD"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2-2: 400 MHz</w:t>
                      </w:r>
                    </w:p>
                    <w:p w14:paraId="3DD14B3A" w14:textId="77777777" w:rsidR="007A5CC6" w:rsidRPr="00106B7E" w:rsidRDefault="007A5CC6" w:rsidP="00414428">
                      <w:pPr>
                        <w:numPr>
                          <w:ilvl w:val="1"/>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for 960 kHz SCS</w:t>
                      </w:r>
                    </w:p>
                    <w:p w14:paraId="213FD381"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3-1: 400 MHz</w:t>
                      </w:r>
                    </w:p>
                    <w:p w14:paraId="28A1B0C4"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3-2: 800 MHz</w:t>
                      </w:r>
                    </w:p>
                    <w:p w14:paraId="5E070BD2" w14:textId="77777777" w:rsidR="007A5CC6" w:rsidRPr="00106B7E" w:rsidRDefault="007A5CC6" w:rsidP="00414428">
                      <w:pPr>
                        <w:numPr>
                          <w:ilvl w:val="2"/>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Option 3-3: same value as the maximum channel bandwidth for 960 kHz SCS</w:t>
                      </w:r>
                    </w:p>
                    <w:p w14:paraId="4F5D4F1B"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Further study in RAN1 the above options’ implications on RAN1 design and specification</w:t>
                      </w:r>
                    </w:p>
                    <w:p w14:paraId="49B09427" w14:textId="77777777" w:rsidR="007A5CC6" w:rsidRPr="00106B7E" w:rsidRDefault="007A5CC6" w:rsidP="00414428">
                      <w:pPr>
                        <w:numPr>
                          <w:ilvl w:val="0"/>
                          <w:numId w:val="37"/>
                        </w:numPr>
                        <w:spacing w:after="0" w:line="240" w:lineRule="auto"/>
                        <w:rPr>
                          <w:rFonts w:ascii="Times New Roman" w:hAnsi="Times New Roman" w:cs="Times New Roman"/>
                          <w:lang w:eastAsia="x-none"/>
                        </w:rPr>
                      </w:pPr>
                      <w:r w:rsidRPr="00106B7E">
                        <w:rPr>
                          <w:rFonts w:ascii="Times New Roman" w:hAnsi="Times New Roman" w:cs="Times New Roman"/>
                          <w:lang w:eastAsia="x-none"/>
                        </w:rPr>
                        <w:t>Send LS to RAN4 to inform about RAN1’s identified options of minimum channel bandwidth and ask RAN4 to decide and feedback the minimum channel bandwidth</w:t>
                      </w:r>
                    </w:p>
                    <w:p w14:paraId="73245007" w14:textId="77777777" w:rsidR="007A5CC6" w:rsidRDefault="007A5CC6">
                      <w:pPr>
                        <w:spacing w:after="0"/>
                      </w:pPr>
                    </w:p>
                  </w:txbxContent>
                </v:textbox>
                <w10:wrap type="topAndBottom"/>
              </v:shape>
            </w:pict>
          </mc:Fallback>
        </mc:AlternateContent>
      </w:r>
    </w:p>
    <w:p w14:paraId="13B70998" w14:textId="39439B7F" w:rsidR="00796E03" w:rsidRDefault="0096494C" w:rsidP="000A5ED3">
      <w:pPr>
        <w:jc w:val="both"/>
      </w:pPr>
      <w:r>
        <w:t xml:space="preserve">Here we discuss some of the </w:t>
      </w:r>
      <w:r w:rsidR="00796E03">
        <w:t xml:space="preserve">items </w:t>
      </w:r>
      <w:r>
        <w:t>listed as FFS</w:t>
      </w:r>
      <w:r w:rsidR="00796E03">
        <w:t>.</w:t>
      </w:r>
      <w:r w:rsidR="006F2A84">
        <w:t xml:space="preserve"> To start, we acknowledge that these items have a clear dependence on RAN4 decisions</w:t>
      </w:r>
      <w:r>
        <w:t>,</w:t>
      </w:r>
      <w:r w:rsidR="006F2A84">
        <w:t xml:space="preserve"> and it will be hard to make concrete agreements in RAN1 before the channelization and minimum channel bandwidth per SCS is decided by RAN4. However, it is still of value to consider some possible RAN4 designs to be able to progress the discussions and understand the tradeoffs in RAN1. </w:t>
      </w:r>
    </w:p>
    <w:p w14:paraId="516F8D31" w14:textId="64F91918" w:rsidR="00E51E6C" w:rsidRDefault="006F2A84" w:rsidP="000A5ED3">
      <w:pPr>
        <w:jc w:val="both"/>
      </w:pPr>
      <w:r>
        <w:t xml:space="preserve">In our companion contribution </w:t>
      </w:r>
      <w:r>
        <w:fldChar w:fldCharType="begin"/>
      </w:r>
      <w:r>
        <w:instrText xml:space="preserve"> REF _Ref67064492 \r \h </w:instrText>
      </w:r>
      <w:r w:rsidR="000A5ED3">
        <w:instrText xml:space="preserve"> \* MERGEFORMAT </w:instrText>
      </w:r>
      <w:r>
        <w:fldChar w:fldCharType="separate"/>
      </w:r>
      <w:r>
        <w:t>[9]</w:t>
      </w:r>
      <w:r>
        <w:fldChar w:fldCharType="end"/>
      </w:r>
      <w:r>
        <w:t xml:space="preserve">, channelization of the 57 – 71 GHz spectrum range is discussed. </w:t>
      </w:r>
      <w:r w:rsidR="0096494C">
        <w:t>In Rel-15/16, t</w:t>
      </w:r>
      <w:r>
        <w:t xml:space="preserve">he </w:t>
      </w:r>
      <w:r w:rsidR="0096494C">
        <w:t>global channel</w:t>
      </w:r>
      <w:r>
        <w:t xml:space="preserve"> raster granularity of 60 kHz is specified to accommodate a flexible channelization </w:t>
      </w:r>
      <w:r w:rsidR="0096494C">
        <w:t xml:space="preserve">to accommodate potentially </w:t>
      </w:r>
      <w:r>
        <w:t xml:space="preserve">fragmented </w:t>
      </w:r>
      <w:r w:rsidR="0096494C">
        <w:t xml:space="preserve">operator </w:t>
      </w:r>
      <w:r>
        <w:t xml:space="preserve">spectrum </w:t>
      </w:r>
      <w:r w:rsidR="0096494C">
        <w:t>holdings</w:t>
      </w:r>
      <w:r>
        <w:t xml:space="preserve"> in </w:t>
      </w:r>
      <w:r w:rsidR="0096494C">
        <w:t>FR2</w:t>
      </w:r>
      <w:r>
        <w:t>. In contra</w:t>
      </w:r>
      <w:r w:rsidR="009629B8">
        <w:t>st</w:t>
      </w:r>
      <w:r>
        <w:t xml:space="preserve">, </w:t>
      </w:r>
      <w:r w:rsidR="009629B8">
        <w:t>in the 57 – 71 GHz range</w:t>
      </w:r>
      <w:r>
        <w:t xml:space="preserve"> there </w:t>
      </w:r>
      <w:r w:rsidR="0096494C">
        <w:t>is a</w:t>
      </w:r>
      <w:r>
        <w:t xml:space="preserve"> large amount of contiguous spectrum available, see </w:t>
      </w:r>
      <w:r>
        <w:fldChar w:fldCharType="begin"/>
      </w:r>
      <w:r>
        <w:instrText xml:space="preserve"> REF _Ref67065016 \h </w:instrText>
      </w:r>
      <w:r w:rsidR="000A5ED3">
        <w:instrText xml:space="preserve"> \* MERGEFORMAT </w:instrText>
      </w:r>
      <w:r>
        <w:fldChar w:fldCharType="separate"/>
      </w:r>
      <w:r>
        <w:t xml:space="preserve">Figure </w:t>
      </w:r>
      <w:r>
        <w:rPr>
          <w:noProof/>
        </w:rPr>
        <w:t>4</w:t>
      </w:r>
      <w:r>
        <w:fldChar w:fldCharType="end"/>
      </w:r>
      <w:r w:rsidR="009629B8">
        <w:t>, which means that the same channelization flexibility as in Rel-15 is not necessarily needed</w:t>
      </w:r>
      <w:r>
        <w:t>.</w:t>
      </w:r>
      <w:r w:rsidR="00414428">
        <w:t xml:space="preserve"> </w:t>
      </w:r>
      <w:r w:rsidR="009629B8">
        <w:t>Instead, b</w:t>
      </w:r>
      <w:r w:rsidR="00414428">
        <w:t xml:space="preserve">ased on the large blocks of spectrum allocations and to reduce UE SSB search complexity, </w:t>
      </w:r>
      <w:r w:rsidR="00B73077">
        <w:t xml:space="preserve">using </w:t>
      </w:r>
      <w:r w:rsidR="00414428">
        <w:t>a fixed channel</w:t>
      </w:r>
      <w:r w:rsidR="00C12398">
        <w:t xml:space="preserve"> design</w:t>
      </w:r>
      <w:r w:rsidR="00414428">
        <w:t xml:space="preserve"> is </w:t>
      </w:r>
      <w:r w:rsidR="00B73077">
        <w:t>well motivated</w:t>
      </w:r>
      <w:r w:rsidR="00305048">
        <w:t xml:space="preserve">. In </w:t>
      </w:r>
      <w:r w:rsidR="00305048">
        <w:fldChar w:fldCharType="begin"/>
      </w:r>
      <w:r w:rsidR="00305048">
        <w:instrText xml:space="preserve"> REF _Ref67478663 \r \h </w:instrText>
      </w:r>
      <w:r w:rsidR="000A5ED3">
        <w:instrText xml:space="preserve"> \* MERGEFORMAT </w:instrText>
      </w:r>
      <w:r w:rsidR="00305048">
        <w:fldChar w:fldCharType="separate"/>
      </w:r>
      <w:r w:rsidR="00305048">
        <w:t>[9]</w:t>
      </w:r>
      <w:r w:rsidR="00305048">
        <w:fldChar w:fldCharType="end"/>
      </w:r>
      <w:r w:rsidR="00305048">
        <w:t>, an exemplary fixed channelization is created and we use this as a basis for the discussion</w:t>
      </w:r>
      <w:r w:rsidR="00C12398">
        <w:t xml:space="preserve"> </w:t>
      </w:r>
      <w:r w:rsidR="00B73077">
        <w:t>throughout this contribution</w:t>
      </w:r>
      <w:r w:rsidR="00414428">
        <w:t>. A minimum channel bandwidth of 100 MHz is assumed, in line with Option 1-1 from the agreement copied above</w:t>
      </w:r>
      <w:r w:rsidR="0096494C">
        <w:t>. T</w:t>
      </w:r>
      <w:r w:rsidR="009629B8">
        <w:t xml:space="preserve">he supported channel bandwidths for the exemplary fixed channelization are </w:t>
      </w:r>
      <w:r w:rsidR="0096494C">
        <w:t>listed</w:t>
      </w:r>
      <w:r w:rsidR="009629B8">
        <w:t xml:space="preserve"> in </w:t>
      </w:r>
      <w:r w:rsidR="00A87E25">
        <w:fldChar w:fldCharType="begin"/>
      </w:r>
      <w:r w:rsidR="00A87E25">
        <w:instrText xml:space="preserve"> REF _Ref67998479 \h </w:instrText>
      </w:r>
      <w:r w:rsidR="000A5ED3">
        <w:instrText xml:space="preserve"> \* MERGEFORMAT </w:instrText>
      </w:r>
      <w:r w:rsidR="00A87E25">
        <w:fldChar w:fldCharType="separate"/>
      </w:r>
      <w:r w:rsidR="00A87E25">
        <w:t xml:space="preserve">Table </w:t>
      </w:r>
      <w:r w:rsidR="00A87E25">
        <w:rPr>
          <w:noProof/>
        </w:rPr>
        <w:t>1</w:t>
      </w:r>
      <w:r w:rsidR="00A87E25">
        <w:fldChar w:fldCharType="end"/>
      </w:r>
      <w:r w:rsidR="00414428">
        <w:t>.</w:t>
      </w:r>
    </w:p>
    <w:p w14:paraId="1EF0B934" w14:textId="12794598" w:rsidR="006F2A84" w:rsidRDefault="00F05B9E" w:rsidP="006F2A84">
      <w:r w:rsidRPr="00F05B9E">
        <w:rPr>
          <w:noProof/>
        </w:rPr>
        <w:drawing>
          <wp:inline distT="0" distB="0" distL="0" distR="0" wp14:anchorId="14CD450D" wp14:editId="3790E7F3">
            <wp:extent cx="6804000" cy="60120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300"/>
                    <a:stretch/>
                  </pic:blipFill>
                  <pic:spPr bwMode="auto">
                    <a:xfrm>
                      <a:off x="0" y="0"/>
                      <a:ext cx="6804000" cy="601200"/>
                    </a:xfrm>
                    <a:prstGeom prst="rect">
                      <a:avLst/>
                    </a:prstGeom>
                    <a:noFill/>
                    <a:ln>
                      <a:noFill/>
                    </a:ln>
                    <a:extLst>
                      <a:ext uri="{53640926-AAD7-44D8-BBD7-CCE9431645EC}">
                        <a14:shadowObscured xmlns:a14="http://schemas.microsoft.com/office/drawing/2010/main"/>
                      </a:ext>
                    </a:extLst>
                  </pic:spPr>
                </pic:pic>
              </a:graphicData>
            </a:graphic>
          </wp:inline>
        </w:drawing>
      </w:r>
    </w:p>
    <w:p w14:paraId="13FDC248" w14:textId="1975161D" w:rsidR="006F2A84" w:rsidRDefault="006F2A84" w:rsidP="006F2A84">
      <w:pPr>
        <w:pStyle w:val="Caption"/>
      </w:pPr>
      <w:r>
        <w:t xml:space="preserve">Figure </w:t>
      </w:r>
      <w:r>
        <w:fldChar w:fldCharType="begin"/>
      </w:r>
      <w:r>
        <w:instrText xml:space="preserve"> SEQ Figure \* ARABIC </w:instrText>
      </w:r>
      <w:r>
        <w:fldChar w:fldCharType="separate"/>
      </w:r>
      <w:r>
        <w:rPr>
          <w:noProof/>
        </w:rPr>
        <w:t>4</w:t>
      </w:r>
      <w:r>
        <w:fldChar w:fldCharType="end"/>
      </w:r>
      <w:r w:rsidR="0096494C">
        <w:t xml:space="preserve">: </w:t>
      </w:r>
      <w:r>
        <w:t>Region</w:t>
      </w:r>
      <w:r w:rsidR="0096494C">
        <w:t>al</w:t>
      </w:r>
      <w:r>
        <w:t xml:space="preserve"> spectrum allocation for the range 57 – 71 GHz.</w:t>
      </w:r>
    </w:p>
    <w:p w14:paraId="55CDD9C3" w14:textId="53F38C10" w:rsidR="009629B8" w:rsidRDefault="009629B8" w:rsidP="009629B8">
      <w:pPr>
        <w:pStyle w:val="Caption"/>
      </w:pPr>
      <w:bookmarkStart w:id="10" w:name="_Ref67998479"/>
      <w:r>
        <w:t xml:space="preserve">Table </w:t>
      </w:r>
      <w:r>
        <w:fldChar w:fldCharType="begin"/>
      </w:r>
      <w:r>
        <w:instrText xml:space="preserve"> SEQ Table \* ARABIC </w:instrText>
      </w:r>
      <w:r>
        <w:fldChar w:fldCharType="separate"/>
      </w:r>
      <w:r w:rsidR="0061226F">
        <w:rPr>
          <w:noProof/>
        </w:rPr>
        <w:t>1</w:t>
      </w:r>
      <w:r>
        <w:fldChar w:fldCharType="end"/>
      </w:r>
      <w:bookmarkEnd w:id="10"/>
      <w:r w:rsidR="0096494C">
        <w:t xml:space="preserve">: </w:t>
      </w:r>
      <w:r>
        <w:t>Channel bandwidths supported for exemplary channelization design</w:t>
      </w:r>
    </w:p>
    <w:tbl>
      <w:tblPr>
        <w:tblStyle w:val="TableGrid"/>
        <w:tblW w:w="0" w:type="auto"/>
        <w:jc w:val="center"/>
        <w:tblBorders>
          <w:bottom w:val="single" w:sz="8" w:space="0" w:color="auto"/>
        </w:tblBorders>
        <w:tblLook w:val="04A0" w:firstRow="1" w:lastRow="0" w:firstColumn="1" w:lastColumn="0" w:noHBand="0" w:noVBand="1"/>
      </w:tblPr>
      <w:tblGrid>
        <w:gridCol w:w="1139"/>
        <w:gridCol w:w="628"/>
        <w:gridCol w:w="628"/>
        <w:gridCol w:w="628"/>
        <w:gridCol w:w="661"/>
        <w:gridCol w:w="661"/>
      </w:tblGrid>
      <w:tr w:rsidR="009629B8" w14:paraId="40AF3FB5" w14:textId="77777777" w:rsidTr="00831494">
        <w:trPr>
          <w:jc w:val="center"/>
        </w:trPr>
        <w:tc>
          <w:tcPr>
            <w:tcW w:w="0" w:type="auto"/>
            <w:vMerge w:val="restart"/>
            <w:vAlign w:val="bottom"/>
          </w:tcPr>
          <w:p w14:paraId="19599A50" w14:textId="77777777" w:rsidR="009629B8" w:rsidRDefault="009629B8" w:rsidP="00831494">
            <w:pPr>
              <w:pStyle w:val="BodyText"/>
              <w:spacing w:after="0"/>
              <w:jc w:val="center"/>
              <w:rPr>
                <w:rFonts w:eastAsiaTheme="minorEastAsia"/>
                <w:sz w:val="20"/>
                <w:szCs w:val="20"/>
              </w:rPr>
            </w:pPr>
            <w:r>
              <w:rPr>
                <w:rFonts w:eastAsiaTheme="minorEastAsia"/>
                <w:sz w:val="20"/>
                <w:szCs w:val="20"/>
              </w:rPr>
              <w:t>Subcarrier</w:t>
            </w:r>
          </w:p>
          <w:p w14:paraId="1D81BC2B" w14:textId="77777777" w:rsidR="009629B8" w:rsidRDefault="009629B8" w:rsidP="00831494">
            <w:pPr>
              <w:pStyle w:val="BodyText"/>
              <w:spacing w:after="0"/>
              <w:jc w:val="center"/>
              <w:rPr>
                <w:rFonts w:eastAsiaTheme="minorEastAsia"/>
                <w:sz w:val="20"/>
                <w:szCs w:val="20"/>
              </w:rPr>
            </w:pPr>
            <w:r>
              <w:rPr>
                <w:rFonts w:eastAsiaTheme="minorEastAsia"/>
                <w:sz w:val="20"/>
                <w:szCs w:val="20"/>
              </w:rPr>
              <w:t>Spacing</w:t>
            </w:r>
          </w:p>
          <w:p w14:paraId="151C6D94"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∆f</m:t>
                </m:r>
              </m:oMath>
            </m:oMathPara>
          </w:p>
        </w:tc>
        <w:tc>
          <w:tcPr>
            <w:tcW w:w="0" w:type="auto"/>
            <w:gridSpan w:val="5"/>
          </w:tcPr>
          <w:p w14:paraId="7EA483D4" w14:textId="77777777" w:rsidR="009629B8" w:rsidRPr="001954CA" w:rsidRDefault="009629B8" w:rsidP="00831494">
            <w:pPr>
              <w:pStyle w:val="BodyText"/>
              <w:spacing w:after="0"/>
              <w:jc w:val="center"/>
              <w:rPr>
                <w:rFonts w:eastAsiaTheme="minorEastAsia"/>
                <w:sz w:val="20"/>
                <w:szCs w:val="20"/>
              </w:rPr>
            </w:pPr>
            <w:r w:rsidRPr="001954CA">
              <w:rPr>
                <w:rFonts w:eastAsiaTheme="minorEastAsia"/>
                <w:sz w:val="20"/>
                <w:szCs w:val="20"/>
              </w:rPr>
              <w:t>Nominal Channel Bandwidth</w:t>
            </w:r>
          </w:p>
          <w:p w14:paraId="08625DA5"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B</m:t>
                </m:r>
              </m:oMath>
            </m:oMathPara>
          </w:p>
        </w:tc>
      </w:tr>
      <w:tr w:rsidR="009629B8" w14:paraId="42605AB6" w14:textId="77777777" w:rsidTr="00831494">
        <w:trPr>
          <w:jc w:val="center"/>
        </w:trPr>
        <w:tc>
          <w:tcPr>
            <w:tcW w:w="0" w:type="auto"/>
            <w:vMerge/>
          </w:tcPr>
          <w:p w14:paraId="1E2BE882" w14:textId="77777777" w:rsidR="009629B8" w:rsidRPr="001954CA" w:rsidRDefault="009629B8" w:rsidP="00831494">
            <w:pPr>
              <w:pStyle w:val="BodyText"/>
              <w:spacing w:after="0"/>
              <w:jc w:val="center"/>
              <w:rPr>
                <w:rFonts w:eastAsiaTheme="minorEastAsia"/>
                <w:sz w:val="20"/>
                <w:szCs w:val="20"/>
              </w:rPr>
            </w:pPr>
          </w:p>
        </w:tc>
        <w:tc>
          <w:tcPr>
            <w:tcW w:w="0" w:type="auto"/>
          </w:tcPr>
          <w:p w14:paraId="15839055" w14:textId="77777777" w:rsidR="009629B8" w:rsidRDefault="009629B8" w:rsidP="00831494">
            <w:pPr>
              <w:pStyle w:val="BodyText"/>
              <w:spacing w:after="0"/>
              <w:jc w:val="center"/>
              <w:rPr>
                <w:rFonts w:eastAsiaTheme="minorEastAsia"/>
                <w:sz w:val="20"/>
                <w:szCs w:val="20"/>
              </w:rPr>
            </w:pPr>
            <w:r>
              <w:rPr>
                <w:rFonts w:eastAsiaTheme="minorEastAsia"/>
                <w:sz w:val="20"/>
                <w:szCs w:val="20"/>
              </w:rPr>
              <w:t>100</w:t>
            </w:r>
          </w:p>
          <w:p w14:paraId="7344BCD5"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MHz</w:t>
            </w:r>
          </w:p>
        </w:tc>
        <w:tc>
          <w:tcPr>
            <w:tcW w:w="0" w:type="auto"/>
          </w:tcPr>
          <w:p w14:paraId="2F0D1ACF" w14:textId="77777777" w:rsidR="009629B8" w:rsidRDefault="009629B8" w:rsidP="00831494">
            <w:pPr>
              <w:pStyle w:val="BodyText"/>
              <w:spacing w:after="0"/>
              <w:jc w:val="center"/>
              <w:rPr>
                <w:rFonts w:eastAsiaTheme="minorEastAsia"/>
                <w:sz w:val="20"/>
                <w:szCs w:val="20"/>
              </w:rPr>
            </w:pPr>
            <w:r>
              <w:rPr>
                <w:rFonts w:eastAsiaTheme="minorEastAsia"/>
                <w:sz w:val="20"/>
                <w:szCs w:val="20"/>
              </w:rPr>
              <w:t>400</w:t>
            </w:r>
          </w:p>
          <w:p w14:paraId="24CA528A"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MHz</w:t>
            </w:r>
          </w:p>
        </w:tc>
        <w:tc>
          <w:tcPr>
            <w:tcW w:w="0" w:type="auto"/>
          </w:tcPr>
          <w:p w14:paraId="00CD3BB9" w14:textId="77777777" w:rsidR="009629B8" w:rsidRDefault="009629B8" w:rsidP="00831494">
            <w:pPr>
              <w:pStyle w:val="BodyText"/>
              <w:spacing w:after="0"/>
              <w:jc w:val="center"/>
              <w:rPr>
                <w:rFonts w:eastAsiaTheme="minorEastAsia"/>
                <w:sz w:val="20"/>
                <w:szCs w:val="20"/>
              </w:rPr>
            </w:pPr>
            <w:r>
              <w:rPr>
                <w:rFonts w:eastAsiaTheme="minorEastAsia"/>
                <w:sz w:val="20"/>
                <w:szCs w:val="20"/>
              </w:rPr>
              <w:t>800</w:t>
            </w:r>
          </w:p>
          <w:p w14:paraId="5C78D58A"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MHz</w:t>
            </w:r>
          </w:p>
        </w:tc>
        <w:tc>
          <w:tcPr>
            <w:tcW w:w="0" w:type="auto"/>
          </w:tcPr>
          <w:p w14:paraId="22A4E4DB" w14:textId="77777777" w:rsidR="009629B8" w:rsidRDefault="009629B8" w:rsidP="00831494">
            <w:pPr>
              <w:pStyle w:val="BodyText"/>
              <w:spacing w:after="0"/>
              <w:jc w:val="center"/>
              <w:rPr>
                <w:rFonts w:eastAsiaTheme="minorEastAsia"/>
                <w:sz w:val="20"/>
                <w:szCs w:val="20"/>
              </w:rPr>
            </w:pPr>
            <w:r>
              <w:rPr>
                <w:rFonts w:eastAsiaTheme="minorEastAsia"/>
                <w:sz w:val="20"/>
                <w:szCs w:val="20"/>
              </w:rPr>
              <w:t>1600</w:t>
            </w:r>
          </w:p>
          <w:p w14:paraId="2AEC5CB5"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MHz</w:t>
            </w:r>
          </w:p>
        </w:tc>
        <w:tc>
          <w:tcPr>
            <w:tcW w:w="0" w:type="auto"/>
          </w:tcPr>
          <w:p w14:paraId="48AD599B" w14:textId="77777777" w:rsidR="009629B8" w:rsidRDefault="009629B8" w:rsidP="00831494">
            <w:pPr>
              <w:pStyle w:val="BodyText"/>
              <w:spacing w:after="0"/>
              <w:jc w:val="center"/>
              <w:rPr>
                <w:rFonts w:eastAsiaTheme="minorEastAsia"/>
                <w:sz w:val="20"/>
                <w:szCs w:val="20"/>
              </w:rPr>
            </w:pPr>
            <w:r>
              <w:rPr>
                <w:rFonts w:eastAsiaTheme="minorEastAsia"/>
                <w:sz w:val="20"/>
                <w:szCs w:val="20"/>
              </w:rPr>
              <w:t>2160</w:t>
            </w:r>
          </w:p>
          <w:p w14:paraId="3D535E95"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MHz</w:t>
            </w:r>
          </w:p>
        </w:tc>
      </w:tr>
      <w:tr w:rsidR="009629B8" w14:paraId="1D4363D5" w14:textId="77777777" w:rsidTr="00831494">
        <w:trPr>
          <w:jc w:val="center"/>
        </w:trPr>
        <w:tc>
          <w:tcPr>
            <w:tcW w:w="0" w:type="auto"/>
          </w:tcPr>
          <w:p w14:paraId="0584D721"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120 kHz</w:t>
            </w:r>
          </w:p>
        </w:tc>
        <w:tc>
          <w:tcPr>
            <w:tcW w:w="0" w:type="auto"/>
          </w:tcPr>
          <w:p w14:paraId="543DCCC0"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61E4D1B1"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224D5B61"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0CB7572E"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7098495D"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r>
      <w:tr w:rsidR="009629B8" w14:paraId="6636AA13" w14:textId="77777777" w:rsidTr="00831494">
        <w:trPr>
          <w:jc w:val="center"/>
        </w:trPr>
        <w:tc>
          <w:tcPr>
            <w:tcW w:w="0" w:type="auto"/>
          </w:tcPr>
          <w:p w14:paraId="3D599D59"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480 kHz</w:t>
            </w:r>
          </w:p>
        </w:tc>
        <w:tc>
          <w:tcPr>
            <w:tcW w:w="0" w:type="auto"/>
          </w:tcPr>
          <w:p w14:paraId="31F6374D"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4DB441E4"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17509528"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0976E465"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3124A765"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r>
      <w:tr w:rsidR="009629B8" w14:paraId="0C7A44D7" w14:textId="77777777" w:rsidTr="00831494">
        <w:trPr>
          <w:jc w:val="center"/>
        </w:trPr>
        <w:tc>
          <w:tcPr>
            <w:tcW w:w="0" w:type="auto"/>
          </w:tcPr>
          <w:p w14:paraId="5A2799AE"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960 kHz</w:t>
            </w:r>
          </w:p>
        </w:tc>
        <w:tc>
          <w:tcPr>
            <w:tcW w:w="0" w:type="auto"/>
          </w:tcPr>
          <w:p w14:paraId="3C3F8EF0"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6D5B6826"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66B76746"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2501D0CF" w14:textId="77777777" w:rsidR="009629B8" w:rsidRPr="001954CA" w:rsidRDefault="009629B8" w:rsidP="00831494">
            <w:pPr>
              <w:pStyle w:val="BodyText"/>
              <w:spacing w:after="0"/>
              <w:jc w:val="center"/>
              <w:rPr>
                <w:rFonts w:eastAsiaTheme="minorEastAsia"/>
                <w:sz w:val="20"/>
                <w:szCs w:val="20"/>
              </w:rPr>
            </w:pPr>
            <w:r>
              <w:rPr>
                <w:rFonts w:eastAsiaTheme="minorEastAsia"/>
                <w:sz w:val="20"/>
                <w:szCs w:val="20"/>
              </w:rPr>
              <w:t>-</w:t>
            </w:r>
          </w:p>
        </w:tc>
        <w:tc>
          <w:tcPr>
            <w:tcW w:w="0" w:type="auto"/>
          </w:tcPr>
          <w:p w14:paraId="51B449A6" w14:textId="77777777" w:rsidR="009629B8" w:rsidRPr="001954CA" w:rsidRDefault="001F0CEA" w:rsidP="00831494">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r>
    </w:tbl>
    <w:p w14:paraId="77E704C2" w14:textId="77777777" w:rsidR="009629B8" w:rsidRDefault="009629B8" w:rsidP="006F2A84"/>
    <w:p w14:paraId="0912F517" w14:textId="0C667D1C" w:rsidR="006F2A84" w:rsidRDefault="006F2A84" w:rsidP="006F2A84">
      <w:r>
        <w:t xml:space="preserve">As shown in </w:t>
      </w:r>
      <w:r w:rsidR="00414428">
        <w:fldChar w:fldCharType="begin"/>
      </w:r>
      <w:r w:rsidR="00414428">
        <w:instrText xml:space="preserve"> REF _Ref67478663 \r \h </w:instrText>
      </w:r>
      <w:r w:rsidR="00414428">
        <w:fldChar w:fldCharType="separate"/>
      </w:r>
      <w:r w:rsidR="00414428">
        <w:t>[9]</w:t>
      </w:r>
      <w:r w:rsidR="00414428">
        <w:fldChar w:fldCharType="end"/>
      </w:r>
      <w:r>
        <w:t xml:space="preserve">, </w:t>
      </w:r>
      <w:r w:rsidR="00414428">
        <w:t xml:space="preserve">using a fixed channel design, </w:t>
      </w:r>
      <w:r>
        <w:t xml:space="preserve">the 14 GHz of spectrum available </w:t>
      </w:r>
      <w:r w:rsidR="00AD48A2">
        <w:t>can be</w:t>
      </w:r>
      <w:r>
        <w:t xml:space="preserve"> nicely split into channels as summarized in </w:t>
      </w:r>
      <w:r w:rsidR="00414428">
        <w:fldChar w:fldCharType="begin"/>
      </w:r>
      <w:r w:rsidR="00414428">
        <w:instrText xml:space="preserve"> REF _Ref67479699 \h </w:instrText>
      </w:r>
      <w:r w:rsidR="00414428">
        <w:fldChar w:fldCharType="separate"/>
      </w:r>
      <w:r w:rsidR="00823116">
        <w:t xml:space="preserve">Table </w:t>
      </w:r>
      <w:r w:rsidR="00823116">
        <w:rPr>
          <w:noProof/>
        </w:rPr>
        <w:t>2</w:t>
      </w:r>
      <w:r w:rsidR="00414428">
        <w:fldChar w:fldCharType="end"/>
      </w:r>
      <w:r>
        <w:t>.</w:t>
      </w:r>
    </w:p>
    <w:p w14:paraId="4EDF119A" w14:textId="02FE63BB" w:rsidR="006F2A84" w:rsidRDefault="006F2A84" w:rsidP="00E51E6C">
      <w:pPr>
        <w:pStyle w:val="Caption"/>
      </w:pPr>
      <w:bookmarkStart w:id="11" w:name="_Ref67479699"/>
      <w:r>
        <w:t xml:space="preserve">Table </w:t>
      </w:r>
      <w:r>
        <w:fldChar w:fldCharType="begin"/>
      </w:r>
      <w:r>
        <w:instrText xml:space="preserve"> SEQ Table \* ARABIC </w:instrText>
      </w:r>
      <w:r>
        <w:fldChar w:fldCharType="separate"/>
      </w:r>
      <w:r w:rsidR="00823116">
        <w:rPr>
          <w:noProof/>
        </w:rPr>
        <w:t>2</w:t>
      </w:r>
      <w:r>
        <w:fldChar w:fldCharType="end"/>
      </w:r>
      <w:bookmarkEnd w:id="11"/>
      <w:r w:rsidR="0096494C">
        <w:t xml:space="preserve">: </w:t>
      </w:r>
      <w:r>
        <w:t>Number of channels per channel bandwidth for a fixed channelization of 57 – 71 GHz</w:t>
      </w:r>
    </w:p>
    <w:tbl>
      <w:tblPr>
        <w:tblStyle w:val="TableGrid"/>
        <w:tblW w:w="0" w:type="auto"/>
        <w:jc w:val="center"/>
        <w:tblBorders>
          <w:bottom w:val="single" w:sz="8" w:space="0" w:color="auto"/>
        </w:tblBorders>
        <w:tblLook w:val="04A0" w:firstRow="1" w:lastRow="0" w:firstColumn="1" w:lastColumn="0" w:noHBand="0" w:noVBand="1"/>
      </w:tblPr>
      <w:tblGrid>
        <w:gridCol w:w="1139"/>
        <w:gridCol w:w="628"/>
        <w:gridCol w:w="658"/>
        <w:gridCol w:w="720"/>
        <w:gridCol w:w="661"/>
        <w:gridCol w:w="689"/>
      </w:tblGrid>
      <w:tr w:rsidR="00E51E6C" w14:paraId="69ECC141" w14:textId="77777777" w:rsidTr="00581BC6">
        <w:trPr>
          <w:jc w:val="center"/>
        </w:trPr>
        <w:tc>
          <w:tcPr>
            <w:tcW w:w="0" w:type="auto"/>
            <w:vMerge w:val="restart"/>
            <w:vAlign w:val="bottom"/>
          </w:tcPr>
          <w:p w14:paraId="2D88947E"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Subcarrier</w:t>
            </w:r>
          </w:p>
          <w:p w14:paraId="6BB57B0A"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Spacing</w:t>
            </w:r>
          </w:p>
          <w:p w14:paraId="2C3E2399" w14:textId="77777777" w:rsidR="00E51E6C" w:rsidRPr="000D19FA" w:rsidRDefault="001F0CEA" w:rsidP="00581BC6">
            <w:pPr>
              <w:pStyle w:val="BodyText"/>
              <w:spacing w:after="0"/>
              <w:jc w:val="center"/>
              <w:rPr>
                <w:rFonts w:eastAsiaTheme="minorEastAsia"/>
                <w:sz w:val="20"/>
                <w:szCs w:val="20"/>
              </w:rPr>
            </w:pPr>
            <m:oMathPara>
              <m:oMath>
                <m:r>
                  <w:rPr>
                    <w:rFonts w:ascii="Cambria Math" w:eastAsiaTheme="minorEastAsia" w:hAnsi="Cambria Math"/>
                    <w:sz w:val="20"/>
                    <w:szCs w:val="20"/>
                  </w:rPr>
                  <m:t>∆f</m:t>
                </m:r>
              </m:oMath>
            </m:oMathPara>
          </w:p>
        </w:tc>
        <w:tc>
          <w:tcPr>
            <w:tcW w:w="3356" w:type="dxa"/>
            <w:gridSpan w:val="5"/>
          </w:tcPr>
          <w:p w14:paraId="66E86CE3"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Nominal Channel Bandwidth</w:t>
            </w:r>
          </w:p>
          <w:p w14:paraId="7DA6252A" w14:textId="77777777" w:rsidR="00E51E6C" w:rsidRPr="000D19FA" w:rsidRDefault="001F0CEA" w:rsidP="00581BC6">
            <w:pPr>
              <w:pStyle w:val="BodyText"/>
              <w:spacing w:after="0"/>
              <w:jc w:val="center"/>
              <w:rPr>
                <w:rFonts w:eastAsiaTheme="minorEastAsia"/>
                <w:sz w:val="20"/>
                <w:szCs w:val="20"/>
              </w:rPr>
            </w:pPr>
            <m:oMathPara>
              <m:oMath>
                <m:r>
                  <w:rPr>
                    <w:rFonts w:ascii="Cambria Math" w:eastAsiaTheme="minorEastAsia" w:hAnsi="Cambria Math"/>
                    <w:sz w:val="20"/>
                    <w:szCs w:val="20"/>
                  </w:rPr>
                  <m:t>B</m:t>
                </m:r>
              </m:oMath>
            </m:oMathPara>
          </w:p>
        </w:tc>
      </w:tr>
      <w:tr w:rsidR="00E51E6C" w14:paraId="56F82B7C" w14:textId="77777777" w:rsidTr="00581BC6">
        <w:trPr>
          <w:jc w:val="center"/>
        </w:trPr>
        <w:tc>
          <w:tcPr>
            <w:tcW w:w="0" w:type="auto"/>
            <w:vMerge/>
          </w:tcPr>
          <w:p w14:paraId="3ABEC456" w14:textId="77777777" w:rsidR="00E51E6C" w:rsidRPr="000D19FA" w:rsidRDefault="00E51E6C" w:rsidP="00581BC6">
            <w:pPr>
              <w:pStyle w:val="BodyText"/>
              <w:spacing w:after="0"/>
              <w:jc w:val="center"/>
              <w:rPr>
                <w:rFonts w:eastAsiaTheme="minorEastAsia"/>
                <w:sz w:val="20"/>
                <w:szCs w:val="20"/>
              </w:rPr>
            </w:pPr>
          </w:p>
        </w:tc>
        <w:tc>
          <w:tcPr>
            <w:tcW w:w="0" w:type="auto"/>
          </w:tcPr>
          <w:p w14:paraId="437EFC65"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100</w:t>
            </w:r>
          </w:p>
          <w:p w14:paraId="79A590C5"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MHz</w:t>
            </w:r>
          </w:p>
        </w:tc>
        <w:tc>
          <w:tcPr>
            <w:tcW w:w="658" w:type="dxa"/>
          </w:tcPr>
          <w:p w14:paraId="5FAFCCDA"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400</w:t>
            </w:r>
          </w:p>
          <w:p w14:paraId="7652A7A0"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MHz</w:t>
            </w:r>
          </w:p>
        </w:tc>
        <w:tc>
          <w:tcPr>
            <w:tcW w:w="720" w:type="dxa"/>
          </w:tcPr>
          <w:p w14:paraId="5BF59C8F"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800</w:t>
            </w:r>
          </w:p>
          <w:p w14:paraId="78840877"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MHz</w:t>
            </w:r>
          </w:p>
        </w:tc>
        <w:tc>
          <w:tcPr>
            <w:tcW w:w="661" w:type="dxa"/>
          </w:tcPr>
          <w:p w14:paraId="7C45BA5B"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1600</w:t>
            </w:r>
          </w:p>
          <w:p w14:paraId="1A0B4273"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MHz</w:t>
            </w:r>
          </w:p>
        </w:tc>
        <w:tc>
          <w:tcPr>
            <w:tcW w:w="689" w:type="dxa"/>
          </w:tcPr>
          <w:p w14:paraId="3D010653"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2160</w:t>
            </w:r>
          </w:p>
          <w:p w14:paraId="6B5C821B"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MHz</w:t>
            </w:r>
          </w:p>
        </w:tc>
      </w:tr>
      <w:tr w:rsidR="00E51E6C" w14:paraId="45D07A07" w14:textId="77777777" w:rsidTr="00581BC6">
        <w:trPr>
          <w:jc w:val="center"/>
        </w:trPr>
        <w:tc>
          <w:tcPr>
            <w:tcW w:w="0" w:type="auto"/>
          </w:tcPr>
          <w:p w14:paraId="09A9209F"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120 kHz</w:t>
            </w:r>
          </w:p>
        </w:tc>
        <w:tc>
          <w:tcPr>
            <w:tcW w:w="0" w:type="auto"/>
            <w:vAlign w:val="center"/>
          </w:tcPr>
          <w:p w14:paraId="38552ECE"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140</w:t>
            </w:r>
          </w:p>
        </w:tc>
        <w:tc>
          <w:tcPr>
            <w:tcW w:w="658" w:type="dxa"/>
            <w:vAlign w:val="center"/>
          </w:tcPr>
          <w:p w14:paraId="36F173C5"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35</w:t>
            </w:r>
          </w:p>
        </w:tc>
        <w:tc>
          <w:tcPr>
            <w:tcW w:w="720" w:type="dxa"/>
            <w:vAlign w:val="center"/>
          </w:tcPr>
          <w:p w14:paraId="67F32BB9"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61" w:type="dxa"/>
            <w:vAlign w:val="center"/>
          </w:tcPr>
          <w:p w14:paraId="76E14C45"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89" w:type="dxa"/>
            <w:vAlign w:val="center"/>
          </w:tcPr>
          <w:p w14:paraId="3C37DAC5"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r>
      <w:tr w:rsidR="00E51E6C" w14:paraId="51D072EE" w14:textId="77777777" w:rsidTr="00581BC6">
        <w:trPr>
          <w:jc w:val="center"/>
        </w:trPr>
        <w:tc>
          <w:tcPr>
            <w:tcW w:w="0" w:type="auto"/>
          </w:tcPr>
          <w:p w14:paraId="69E63CCD"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480 kHz</w:t>
            </w:r>
          </w:p>
        </w:tc>
        <w:tc>
          <w:tcPr>
            <w:tcW w:w="0" w:type="auto"/>
            <w:vAlign w:val="center"/>
          </w:tcPr>
          <w:p w14:paraId="40B771A5"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58" w:type="dxa"/>
            <w:vAlign w:val="center"/>
          </w:tcPr>
          <w:p w14:paraId="588F935E"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35</w:t>
            </w:r>
          </w:p>
        </w:tc>
        <w:tc>
          <w:tcPr>
            <w:tcW w:w="720" w:type="dxa"/>
            <w:vAlign w:val="center"/>
          </w:tcPr>
          <w:p w14:paraId="1715617B"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17</w:t>
            </w:r>
          </w:p>
        </w:tc>
        <w:tc>
          <w:tcPr>
            <w:tcW w:w="661" w:type="dxa"/>
            <w:vAlign w:val="center"/>
          </w:tcPr>
          <w:p w14:paraId="2A49677A"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8</w:t>
            </w:r>
          </w:p>
        </w:tc>
        <w:tc>
          <w:tcPr>
            <w:tcW w:w="689" w:type="dxa"/>
            <w:vAlign w:val="center"/>
          </w:tcPr>
          <w:p w14:paraId="5D138B36"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r>
      <w:tr w:rsidR="00E51E6C" w14:paraId="0742CC78" w14:textId="77777777" w:rsidTr="00581BC6">
        <w:trPr>
          <w:jc w:val="center"/>
        </w:trPr>
        <w:tc>
          <w:tcPr>
            <w:tcW w:w="0" w:type="auto"/>
          </w:tcPr>
          <w:p w14:paraId="44D5E5E8"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960 kHz</w:t>
            </w:r>
          </w:p>
        </w:tc>
        <w:tc>
          <w:tcPr>
            <w:tcW w:w="0" w:type="auto"/>
            <w:vAlign w:val="center"/>
          </w:tcPr>
          <w:p w14:paraId="5CE1E021"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58" w:type="dxa"/>
            <w:vAlign w:val="center"/>
          </w:tcPr>
          <w:p w14:paraId="60602C93"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720" w:type="dxa"/>
            <w:vAlign w:val="center"/>
          </w:tcPr>
          <w:p w14:paraId="649AF464"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61" w:type="dxa"/>
            <w:vAlign w:val="center"/>
          </w:tcPr>
          <w:p w14:paraId="279E9D3C" w14:textId="77777777" w:rsidR="00E51E6C" w:rsidRPr="000D19FA" w:rsidRDefault="00E51E6C" w:rsidP="00581BC6">
            <w:pPr>
              <w:pStyle w:val="BodyText"/>
              <w:spacing w:after="0"/>
              <w:jc w:val="center"/>
              <w:rPr>
                <w:rFonts w:eastAsiaTheme="minorEastAsia"/>
                <w:sz w:val="20"/>
                <w:szCs w:val="20"/>
              </w:rPr>
            </w:pPr>
            <w:r w:rsidRPr="000D19FA">
              <w:rPr>
                <w:rFonts w:eastAsiaTheme="minorEastAsia"/>
                <w:sz w:val="20"/>
                <w:szCs w:val="20"/>
              </w:rPr>
              <w:t>-</w:t>
            </w:r>
          </w:p>
        </w:tc>
        <w:tc>
          <w:tcPr>
            <w:tcW w:w="689" w:type="dxa"/>
            <w:vAlign w:val="center"/>
          </w:tcPr>
          <w:p w14:paraId="0B02D8C6" w14:textId="77777777" w:rsidR="00E51E6C" w:rsidRPr="000D19FA" w:rsidRDefault="00E51E6C" w:rsidP="00581BC6">
            <w:pPr>
              <w:pStyle w:val="BodyText"/>
              <w:spacing w:after="0"/>
              <w:jc w:val="center"/>
              <w:rPr>
                <w:rFonts w:eastAsiaTheme="minorEastAsia"/>
                <w:sz w:val="20"/>
                <w:szCs w:val="20"/>
              </w:rPr>
            </w:pPr>
            <w:r>
              <w:rPr>
                <w:rFonts w:eastAsiaTheme="minorEastAsia"/>
                <w:sz w:val="20"/>
                <w:szCs w:val="20"/>
              </w:rPr>
              <w:t>6</w:t>
            </w:r>
          </w:p>
        </w:tc>
      </w:tr>
    </w:tbl>
    <w:p w14:paraId="4A2FF9A2" w14:textId="77777777" w:rsidR="00E51E6C" w:rsidRDefault="00E51E6C" w:rsidP="004C65D2"/>
    <w:p w14:paraId="4152F05A" w14:textId="63848FCA" w:rsidR="009629B8" w:rsidRPr="0062213A" w:rsidRDefault="009629B8" w:rsidP="009629B8">
      <w:pPr>
        <w:pStyle w:val="BodyText"/>
        <w:rPr>
          <w:rFonts w:eastAsiaTheme="minorEastAsia"/>
        </w:rPr>
      </w:pPr>
      <w:r>
        <w:rPr>
          <w:rFonts w:eastAsiaTheme="minorEastAsia"/>
        </w:rPr>
        <w:t xml:space="preserve">The number of RBs </w:t>
      </w:r>
      <m:oMath>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RB</m:t>
            </m:r>
          </m:sub>
        </m:sSub>
      </m:oMath>
      <w:r>
        <w:rPr>
          <w:rFonts w:eastAsiaTheme="minorEastAsia"/>
        </w:rPr>
        <w:t xml:space="preserve"> (transmission bandwidth configuration) associated with each bandwidth and subcarrier spacing combination</w:t>
      </w:r>
      <m:oMath>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B,∆f</m:t>
            </m:r>
          </m:e>
        </m:d>
      </m:oMath>
      <w:r w:rsidR="0096494C">
        <w:rPr>
          <w:rFonts w:eastAsiaTheme="minorEastAsia"/>
        </w:rPr>
        <w:t xml:space="preserve"> </w:t>
      </w:r>
      <w:r>
        <w:rPr>
          <w:rFonts w:eastAsiaTheme="minorEastAsia"/>
        </w:rPr>
        <w:t>in the table is to be decided by RAN4</w:t>
      </w:r>
      <w:r w:rsidR="0096494C">
        <w:rPr>
          <w:rFonts w:eastAsiaTheme="minorEastAsia"/>
        </w:rPr>
        <w:t xml:space="preserve">. The number of RBs </w:t>
      </w:r>
      <w:r>
        <w:rPr>
          <w:rFonts w:eastAsiaTheme="minorEastAsia"/>
        </w:rPr>
        <w:t xml:space="preserve">is a function of the spectral utilization </w:t>
      </w:r>
      <m:oMath>
        <m:sSub>
          <m:sSubPr>
            <m:ctrlPr>
              <w:rPr>
                <w:rFonts w:ascii="Cambria Math" w:hAnsi="Cambria Math"/>
                <w:i/>
                <w:lang w:val="en-GB" w:eastAsia="ja-JP"/>
              </w:rPr>
            </m:ctrlPr>
          </m:sSubPr>
          <m:e>
            <m:r>
              <w:rPr>
                <w:rFonts w:ascii="Cambria Math" w:hAnsi="Cambria Math"/>
                <w:lang w:val="en-GB" w:eastAsia="ja-JP"/>
              </w:rPr>
              <m:t>ρ</m:t>
            </m:r>
          </m:e>
          <m:sub>
            <m:r>
              <w:rPr>
                <w:rFonts w:ascii="Cambria Math" w:hAnsi="Cambria Math"/>
                <w:lang w:val="en-GB" w:eastAsia="ja-JP"/>
              </w:rPr>
              <m:t>SU</m:t>
            </m:r>
          </m:sub>
        </m:sSub>
      </m:oMath>
      <w:r>
        <w:rPr>
          <w:rFonts w:eastAsiaTheme="minorEastAsia"/>
          <w:lang w:val="en-GB" w:eastAsia="ja-JP"/>
        </w:rPr>
        <w:t xml:space="preserve"> defined as the transmission bandwidth configuration divided by the nominal channel bandwidth </w:t>
      </w:r>
      <m:oMath>
        <m:r>
          <w:rPr>
            <w:rFonts w:ascii="Cambria Math" w:eastAsiaTheme="minorEastAsia" w:hAnsi="Cambria Math"/>
            <w:szCs w:val="20"/>
          </w:rPr>
          <m:t>B</m:t>
        </m:r>
      </m:oMath>
      <w:r>
        <w:rPr>
          <w:rFonts w:eastAsiaTheme="minorEastAsia"/>
          <w:lang w:val="en-GB" w:eastAsia="ja-JP"/>
        </w:rPr>
        <w:t>.</w:t>
      </w:r>
      <w:r>
        <w:rPr>
          <w:rFonts w:eastAsiaTheme="minorEastAsia"/>
        </w:rPr>
        <w:t xml:space="preserve"> </w:t>
      </w:r>
      <w:r w:rsidRPr="0062213A">
        <w:rPr>
          <w:rFonts w:eastAsiaTheme="minorEastAsia"/>
          <w:lang w:val="en-GB" w:eastAsia="ja-JP"/>
        </w:rPr>
        <w:t xml:space="preserve">The number of RBs is </w:t>
      </w:r>
      <w:r>
        <w:rPr>
          <w:rFonts w:eastAsiaTheme="minorEastAsia"/>
          <w:lang w:val="en-GB" w:eastAsia="ja-JP"/>
        </w:rPr>
        <w:t xml:space="preserve">thus </w:t>
      </w:r>
      <w:r w:rsidRPr="0062213A">
        <w:rPr>
          <w:rFonts w:eastAsiaTheme="minorEastAsia"/>
          <w:lang w:val="en-GB" w:eastAsia="ja-JP"/>
        </w:rPr>
        <w:t xml:space="preserve">given by </w:t>
      </w:r>
    </w:p>
    <w:p w14:paraId="25DB8543" w14:textId="77777777" w:rsidR="009629B8" w:rsidRPr="009218CF" w:rsidRDefault="007A5CC6" w:rsidP="009629B8">
      <w:pPr>
        <w:pStyle w:val="BodyText"/>
        <w:ind w:left="360"/>
        <w:rPr>
          <w:rFonts w:eastAsiaTheme="minorEastAsia"/>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222CDE9B" w14:textId="17351D3F" w:rsidR="009629B8" w:rsidRPr="00831494" w:rsidRDefault="009629B8" w:rsidP="00831494">
      <w:pPr>
        <w:pStyle w:val="BodyText"/>
        <w:rPr>
          <w:rFonts w:eastAsiaTheme="minorEastAsia"/>
          <w:lang w:val="en-GB" w:eastAsia="ja-JP"/>
        </w:rPr>
      </w:pPr>
      <w:r>
        <w:t xml:space="preserve">For </w:t>
      </w:r>
      <w:proofErr w:type="gramStart"/>
      <w:r>
        <w:t>example</w:t>
      </w:r>
      <w:proofErr w:type="gramEnd"/>
      <w:r>
        <w:t xml:space="preserve"> </w:t>
      </w:r>
      <w:r w:rsidRPr="0062213A">
        <w:rPr>
          <w:rFonts w:eastAsiaTheme="minorEastAsia"/>
        </w:rPr>
        <w:t>for</w:t>
      </w:r>
      <w:r>
        <w:t xml:space="preserve"> the 100 MHz minimum channel bandwidth for 120 kHz SCS, a spectral utilization of 86.4%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=60</m:t>
        </m:r>
      </m:oMath>
      <w:r>
        <w:rPr>
          <w:rFonts w:eastAsiaTheme="minorEastAsia"/>
          <w:lang w:val="en-GB" w:eastAsia="ja-JP"/>
        </w:rPr>
        <w:t xml:space="preserve"> RBs.</w:t>
      </w:r>
    </w:p>
    <w:p w14:paraId="06B6C993" w14:textId="1F4A3206" w:rsidR="00D9078D" w:rsidRPr="000A5ED3" w:rsidRDefault="003C54DD" w:rsidP="000A5ED3">
      <w:pPr>
        <w:pStyle w:val="BodyText"/>
        <w:rPr>
          <w:rFonts w:eastAsiaTheme="minorEastAsia"/>
        </w:rPr>
      </w:pPr>
      <w:r w:rsidRPr="000A5ED3">
        <w:rPr>
          <w:rFonts w:eastAsiaTheme="minorEastAsia"/>
        </w:rPr>
        <w:t>Using this exemplary fixed channelization</w:t>
      </w:r>
      <w:r w:rsidR="00872481" w:rsidRPr="000A5ED3">
        <w:rPr>
          <w:rFonts w:eastAsiaTheme="minorEastAsia"/>
        </w:rPr>
        <w:t xml:space="preserve">, we </w:t>
      </w:r>
      <w:r w:rsidRPr="000A5ED3">
        <w:rPr>
          <w:rFonts w:eastAsiaTheme="minorEastAsia"/>
        </w:rPr>
        <w:t xml:space="preserve">can now </w:t>
      </w:r>
      <w:r w:rsidR="00872481" w:rsidRPr="000A5ED3">
        <w:rPr>
          <w:rFonts w:eastAsiaTheme="minorEastAsia"/>
        </w:rPr>
        <w:t xml:space="preserve">discuss the FFS points </w:t>
      </w:r>
      <w:r w:rsidRPr="000A5ED3">
        <w:rPr>
          <w:rFonts w:eastAsiaTheme="minorEastAsia"/>
        </w:rPr>
        <w:t xml:space="preserve">regarding </w:t>
      </w:r>
      <w:r w:rsidR="0096494C" w:rsidRPr="000A5ED3">
        <w:rPr>
          <w:rFonts w:eastAsiaTheme="minorEastAsia"/>
        </w:rPr>
        <w:t xml:space="preserve">the supported </w:t>
      </w:r>
      <w:r w:rsidRPr="000A5ED3">
        <w:rPr>
          <w:rFonts w:eastAsiaTheme="minorEastAsia"/>
        </w:rPr>
        <w:t>SSB-CORESET0 configuration</w:t>
      </w:r>
      <w:r w:rsidR="0096494C" w:rsidRPr="000A5ED3">
        <w:rPr>
          <w:rFonts w:eastAsiaTheme="minorEastAsia"/>
        </w:rPr>
        <w:t>s</w:t>
      </w:r>
      <w:r w:rsidRPr="000A5ED3">
        <w:rPr>
          <w:rFonts w:eastAsiaTheme="minorEastAsia"/>
        </w:rPr>
        <w:t xml:space="preserve"> and </w:t>
      </w:r>
      <w:proofErr w:type="gramStart"/>
      <w:r w:rsidR="0096494C" w:rsidRPr="000A5ED3">
        <w:rPr>
          <w:rFonts w:eastAsiaTheme="minorEastAsia"/>
        </w:rPr>
        <w:t>whether or not</w:t>
      </w:r>
      <w:proofErr w:type="gramEnd"/>
      <w:r w:rsidRPr="000A5ED3">
        <w:rPr>
          <w:rFonts w:eastAsiaTheme="minorEastAsia"/>
        </w:rPr>
        <w:t xml:space="preserve"> additional configurations are required.</w:t>
      </w:r>
      <w:r w:rsidR="00D65A95" w:rsidRPr="000A5ED3">
        <w:rPr>
          <w:rFonts w:eastAsiaTheme="minorEastAsia"/>
        </w:rPr>
        <w:t xml:space="preserve"> </w:t>
      </w:r>
      <w:r w:rsidR="005061FC" w:rsidRPr="000A5ED3">
        <w:rPr>
          <w:rFonts w:eastAsiaTheme="minorEastAsia"/>
        </w:rPr>
        <w:t>Specification</w:t>
      </w:r>
      <w:r w:rsidR="00D9078D" w:rsidRPr="000A5ED3">
        <w:rPr>
          <w:rFonts w:eastAsiaTheme="minorEastAsia"/>
        </w:rPr>
        <w:t xml:space="preserve"> 38.213 </w:t>
      </w:r>
      <w:r w:rsidR="00D9078D" w:rsidRPr="000A5ED3">
        <w:rPr>
          <w:rFonts w:eastAsiaTheme="minorEastAsia"/>
        </w:rPr>
        <w:fldChar w:fldCharType="begin"/>
      </w:r>
      <w:r w:rsidR="00D9078D" w:rsidRPr="000A5ED3">
        <w:rPr>
          <w:rFonts w:eastAsiaTheme="minorEastAsia"/>
        </w:rPr>
        <w:instrText xml:space="preserve"> REF _Ref60993913 \r \h </w:instrText>
      </w:r>
      <w:r w:rsidR="000A5ED3">
        <w:rPr>
          <w:rFonts w:eastAsiaTheme="minorEastAsia"/>
        </w:rPr>
        <w:instrText xml:space="preserve"> \* MERGEFORMAT </w:instrText>
      </w:r>
      <w:r w:rsidR="00D9078D" w:rsidRPr="000A5ED3">
        <w:rPr>
          <w:rFonts w:eastAsiaTheme="minorEastAsia"/>
        </w:rPr>
      </w:r>
      <w:r w:rsidR="00D9078D" w:rsidRPr="000A5ED3">
        <w:rPr>
          <w:rFonts w:eastAsiaTheme="minorEastAsia"/>
        </w:rPr>
        <w:fldChar w:fldCharType="separate"/>
      </w:r>
      <w:r w:rsidR="00D9078D" w:rsidRPr="000A5ED3">
        <w:rPr>
          <w:rFonts w:eastAsiaTheme="minorEastAsia"/>
        </w:rPr>
        <w:t>[3]</w:t>
      </w:r>
      <w:r w:rsidR="00D9078D" w:rsidRPr="000A5ED3">
        <w:rPr>
          <w:rFonts w:eastAsiaTheme="minorEastAsia"/>
        </w:rPr>
        <w:fldChar w:fldCharType="end"/>
      </w:r>
      <w:r w:rsidR="00D9078D" w:rsidRPr="000A5ED3">
        <w:rPr>
          <w:rFonts w:eastAsiaTheme="minorEastAsia"/>
        </w:rPr>
        <w:t xml:space="preserve"> </w:t>
      </w:r>
      <w:r w:rsidR="005061FC" w:rsidRPr="000A5ED3">
        <w:rPr>
          <w:rFonts w:eastAsiaTheme="minorEastAsia"/>
        </w:rPr>
        <w:t>includes</w:t>
      </w:r>
      <w:r w:rsidR="00D9078D" w:rsidRPr="000A5ED3">
        <w:rPr>
          <w:rFonts w:eastAsiaTheme="minorEastAsia"/>
        </w:rPr>
        <w:t xml:space="preserve"> tables defining the </w:t>
      </w:r>
      <w:r w:rsidRPr="000A5ED3">
        <w:rPr>
          <w:rFonts w:eastAsiaTheme="minorEastAsia"/>
        </w:rPr>
        <w:t>SSB-</w:t>
      </w:r>
      <w:r w:rsidR="00D9078D" w:rsidRPr="000A5ED3">
        <w:rPr>
          <w:rFonts w:eastAsiaTheme="minorEastAsia"/>
        </w:rPr>
        <w:t>CORESET</w:t>
      </w:r>
      <w:r w:rsidRPr="000A5ED3">
        <w:rPr>
          <w:rFonts w:eastAsiaTheme="minorEastAsia"/>
        </w:rPr>
        <w:t>0</w:t>
      </w:r>
      <w:r w:rsidR="00D9078D" w:rsidRPr="000A5ED3">
        <w:rPr>
          <w:rFonts w:eastAsiaTheme="minorEastAsia"/>
        </w:rPr>
        <w:t xml:space="preserve"> </w:t>
      </w:r>
      <w:r w:rsidR="0096494C" w:rsidRPr="000A5ED3">
        <w:rPr>
          <w:rFonts w:eastAsiaTheme="minorEastAsia"/>
        </w:rPr>
        <w:t xml:space="preserve">offsets </w:t>
      </w:r>
      <w:r w:rsidR="00D9078D" w:rsidRPr="000A5ED3">
        <w:rPr>
          <w:rFonts w:eastAsiaTheme="minorEastAsia"/>
        </w:rPr>
        <w:t>support</w:t>
      </w:r>
      <w:r w:rsidR="0096494C" w:rsidRPr="000A5ED3">
        <w:rPr>
          <w:rFonts w:eastAsiaTheme="minorEastAsia"/>
        </w:rPr>
        <w:t>ed</w:t>
      </w:r>
      <w:r w:rsidR="005061FC" w:rsidRPr="000A5ED3">
        <w:rPr>
          <w:rFonts w:eastAsiaTheme="minorEastAsia"/>
        </w:rPr>
        <w:t xml:space="preserve"> for all numerologies</w:t>
      </w:r>
      <w:r w:rsidR="00D9078D" w:rsidRPr="000A5ED3">
        <w:rPr>
          <w:rFonts w:eastAsiaTheme="minorEastAsia"/>
        </w:rPr>
        <w:t xml:space="preserve">. </w:t>
      </w:r>
      <w:r w:rsidR="00D65A95" w:rsidRPr="000A5ED3">
        <w:rPr>
          <w:rFonts w:eastAsiaTheme="minorEastAsia"/>
        </w:rPr>
        <w:t>Table 13-8</w:t>
      </w:r>
      <w:r w:rsidR="00D9078D" w:rsidRPr="000A5ED3">
        <w:rPr>
          <w:rFonts w:eastAsiaTheme="minorEastAsia"/>
        </w:rPr>
        <w:t xml:space="preserve">, copied below, is the applicable </w:t>
      </w:r>
      <w:r w:rsidR="0096494C" w:rsidRPr="000A5ED3">
        <w:rPr>
          <w:rFonts w:eastAsiaTheme="minorEastAsia"/>
        </w:rPr>
        <w:t>one</w:t>
      </w:r>
      <w:r w:rsidR="00D9078D" w:rsidRPr="000A5ED3">
        <w:rPr>
          <w:rFonts w:eastAsiaTheme="minorEastAsia"/>
        </w:rPr>
        <w:t xml:space="preserve"> for {120, 120} kHz </w:t>
      </w:r>
      <w:r w:rsidR="005061FC" w:rsidRPr="000A5ED3">
        <w:rPr>
          <w:rFonts w:eastAsiaTheme="minorEastAsia"/>
        </w:rPr>
        <w:t>operation</w:t>
      </w:r>
      <w:r w:rsidR="00A5791E" w:rsidRPr="000A5ED3">
        <w:rPr>
          <w:rFonts w:eastAsiaTheme="minorEastAsia"/>
        </w:rPr>
        <w:t xml:space="preserve"> and Table 13-10 is the corresponding table for {240, 120} kHz operation.</w:t>
      </w:r>
      <w:r w:rsidR="00D9078D" w:rsidRPr="000A5ED3">
        <w:rPr>
          <w:rFonts w:eastAsiaTheme="minorEastAsia"/>
        </w:rPr>
        <w:t xml:space="preserve"> </w:t>
      </w:r>
    </w:p>
    <w:p w14:paraId="4C037B69" w14:textId="597DD02D" w:rsidR="00D9078D" w:rsidRDefault="00D9078D" w:rsidP="004C65D2">
      <w:r w:rsidRPr="00D9078D">
        <w:rPr>
          <w:noProof/>
        </w:rPr>
        <w:drawing>
          <wp:inline distT="0" distB="0" distL="0" distR="0" wp14:anchorId="12452325" wp14:editId="0AC03F32">
            <wp:extent cx="6118860" cy="400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4008120"/>
                    </a:xfrm>
                    <a:prstGeom prst="rect">
                      <a:avLst/>
                    </a:prstGeom>
                    <a:noFill/>
                    <a:ln>
                      <a:noFill/>
                    </a:ln>
                  </pic:spPr>
                </pic:pic>
              </a:graphicData>
            </a:graphic>
          </wp:inline>
        </w:drawing>
      </w:r>
    </w:p>
    <w:p w14:paraId="3C4E6BC5" w14:textId="502E60E3" w:rsidR="00AB44F9" w:rsidRDefault="00480C7D" w:rsidP="000A5ED3">
      <w:pPr>
        <w:jc w:val="both"/>
      </w:pPr>
      <w:r>
        <w:rPr>
          <w:noProof/>
        </w:rPr>
        <mc:AlternateContent>
          <mc:Choice Requires="wps">
            <w:drawing>
              <wp:anchor distT="45720" distB="45720" distL="114300" distR="114300" simplePos="0" relativeHeight="251658242" behindDoc="0" locked="0" layoutInCell="1" allowOverlap="1" wp14:anchorId="546743F4" wp14:editId="1D9EB4CB">
                <wp:simplePos x="0" y="0"/>
                <wp:positionH relativeFrom="margin">
                  <wp:align>right</wp:align>
                </wp:positionH>
                <wp:positionV relativeFrom="paragraph">
                  <wp:posOffset>1018126</wp:posOffset>
                </wp:positionV>
                <wp:extent cx="6090285" cy="1446530"/>
                <wp:effectExtent l="0" t="0" r="24765" b="2032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46530"/>
                        </a:xfrm>
                        <a:prstGeom prst="rect">
                          <a:avLst/>
                        </a:prstGeom>
                        <a:solidFill>
                          <a:srgbClr val="FFFFFF"/>
                        </a:solidFill>
                        <a:ln w="9525">
                          <a:solidFill>
                            <a:srgbClr val="000000"/>
                          </a:solidFill>
                          <a:miter lim="800000"/>
                          <a:headEnd/>
                          <a:tailEnd/>
                        </a:ln>
                      </wps:spPr>
                      <wps:txbx>
                        <w:txbxContent>
                          <w:p w14:paraId="4BF66E6A" w14:textId="77777777" w:rsidR="007A5CC6" w:rsidRDefault="007A5CC6" w:rsidP="00AB44F9">
                            <w:pPr>
                              <w:pStyle w:val="ListParagraph"/>
                              <w:numPr>
                                <w:ilvl w:val="0"/>
                                <w:numId w:val="38"/>
                              </w:numPr>
                              <w:ind w:left="720"/>
                              <w:rPr>
                                <w:rFonts w:ascii="Arial" w:hAnsi="Arial" w:cs="Arial"/>
                                <w:sz w:val="20"/>
                                <w:szCs w:val="20"/>
                                <w:lang w:val="en-GB" w:eastAsia="ja-JP"/>
                              </w:rPr>
                            </w:pPr>
                            <w:r>
                              <w:rPr>
                                <w:rFonts w:ascii="Arial" w:hAnsi="Arial" w:cs="Arial"/>
                                <w:sz w:val="20"/>
                                <w:szCs w:val="20"/>
                                <w:lang w:val="en-GB" w:eastAsia="ja-JP"/>
                              </w:rPr>
                              <w:t>For both 120 kHz and 240 kHz SSB with SSB-CORESET0 Multiplexing Pattern 1 (TDM mux)</w:t>
                            </w:r>
                          </w:p>
                          <w:p w14:paraId="47F6BE69"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The existing Rel-15 CORESET0 configuration tables are usable "as is" as long as the spectral utilization ≥ 85% (59 RBs)</w:t>
                            </w:r>
                          </w:p>
                          <w:p w14:paraId="5FF39D2E"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No new SSB-CORESET0 offsets need to be defined</w:t>
                            </w:r>
                          </w:p>
                          <w:p w14:paraId="1FE1E227" w14:textId="77777777" w:rsidR="007A5CC6" w:rsidRDefault="007A5CC6" w:rsidP="00AB44F9">
                            <w:pPr>
                              <w:pStyle w:val="ListParagraph"/>
                              <w:numPr>
                                <w:ilvl w:val="0"/>
                                <w:numId w:val="38"/>
                              </w:numPr>
                              <w:ind w:left="720"/>
                              <w:rPr>
                                <w:rFonts w:ascii="Arial" w:hAnsi="Arial" w:cs="Arial"/>
                                <w:sz w:val="20"/>
                                <w:szCs w:val="20"/>
                                <w:lang w:val="en-GB" w:eastAsia="ja-JP"/>
                              </w:rPr>
                            </w:pPr>
                            <w:r>
                              <w:rPr>
                                <w:rFonts w:ascii="Arial" w:hAnsi="Arial" w:cs="Arial"/>
                                <w:sz w:val="20"/>
                                <w:szCs w:val="20"/>
                                <w:lang w:val="en-GB" w:eastAsia="ja-JP"/>
                              </w:rPr>
                              <w:t>For 120 kHz SSB with SSB-CORESET0 Multiplexing Pattern 3 (FDM mux)</w:t>
                            </w:r>
                          </w:p>
                          <w:p w14:paraId="5EB18720"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The existing Rel-15 CORESET0 configuration tables are usable "as is" for all practical spectral utilization values for the case of 24 RB CORESET0</w:t>
                            </w:r>
                          </w:p>
                          <w:p w14:paraId="6E680104" w14:textId="10CB34B4" w:rsidR="007A5CC6" w:rsidRPr="00FA61B8" w:rsidRDefault="007A5CC6" w:rsidP="00AB44F9">
                            <w:pPr>
                              <w:pStyle w:val="ListParagraph"/>
                              <w:numPr>
                                <w:ilvl w:val="1"/>
                                <w:numId w:val="38"/>
                              </w:numPr>
                              <w:ind w:left="1440"/>
                              <w:rPr>
                                <w:rFonts w:ascii="Arial" w:hAnsi="Arial" w:cs="Arial"/>
                                <w:sz w:val="20"/>
                                <w:szCs w:val="20"/>
                                <w:lang w:val="en-GB" w:eastAsia="ja-JP"/>
                              </w:rPr>
                            </w:pPr>
                            <w:r w:rsidRPr="00AB44F9">
                              <w:rPr>
                                <w:rFonts w:ascii="Arial" w:hAnsi="Arial" w:cs="Arial"/>
                                <w:sz w:val="20"/>
                                <w:szCs w:val="20"/>
                                <w:lang w:val="en-GB" w:eastAsia="ja-JP"/>
                              </w:rPr>
                              <w:t>No new SSB-CORESET0 offsets need to be defined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743F4" id="_x0000_s1027" type="#_x0000_t202" style="position:absolute;left:0;text-align:left;margin-left:428.35pt;margin-top:80.15pt;width:479.55pt;height:113.9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">
                <v:textbox>
                  <w:txbxContent>
                    <w:p w14:paraId="4BF66E6A" w14:textId="77777777" w:rsidR="007A5CC6" w:rsidRDefault="007A5CC6" w:rsidP="00AB44F9">
                      <w:pPr>
                        <w:pStyle w:val="ListParagraph"/>
                        <w:numPr>
                          <w:ilvl w:val="0"/>
                          <w:numId w:val="38"/>
                        </w:numPr>
                        <w:ind w:left="720"/>
                        <w:rPr>
                          <w:rFonts w:ascii="Arial" w:hAnsi="Arial" w:cs="Arial"/>
                          <w:sz w:val="20"/>
                          <w:szCs w:val="20"/>
                          <w:lang w:val="en-GB" w:eastAsia="ja-JP"/>
                        </w:rPr>
                      </w:pPr>
                      <w:r>
                        <w:rPr>
                          <w:rFonts w:ascii="Arial" w:hAnsi="Arial" w:cs="Arial"/>
                          <w:sz w:val="20"/>
                          <w:szCs w:val="20"/>
                          <w:lang w:val="en-GB" w:eastAsia="ja-JP"/>
                        </w:rPr>
                        <w:t>For both 120 kHz and 240 kHz SSB with SSB-CORESET0 Multiplexing Pattern 1 (TDM mux)</w:t>
                      </w:r>
                    </w:p>
                    <w:p w14:paraId="47F6BE69"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The existing Rel-15 CORESET0 configuration tables are usable "as is" as long as the spectral utilization ≥ 85% (59 RBs)</w:t>
                      </w:r>
                    </w:p>
                    <w:p w14:paraId="5FF39D2E"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No new SSB-CORESET0 offsets need to be defined</w:t>
                      </w:r>
                    </w:p>
                    <w:p w14:paraId="1FE1E227" w14:textId="77777777" w:rsidR="007A5CC6" w:rsidRDefault="007A5CC6" w:rsidP="00AB44F9">
                      <w:pPr>
                        <w:pStyle w:val="ListParagraph"/>
                        <w:numPr>
                          <w:ilvl w:val="0"/>
                          <w:numId w:val="38"/>
                        </w:numPr>
                        <w:ind w:left="720"/>
                        <w:rPr>
                          <w:rFonts w:ascii="Arial" w:hAnsi="Arial" w:cs="Arial"/>
                          <w:sz w:val="20"/>
                          <w:szCs w:val="20"/>
                          <w:lang w:val="en-GB" w:eastAsia="ja-JP"/>
                        </w:rPr>
                      </w:pPr>
                      <w:r>
                        <w:rPr>
                          <w:rFonts w:ascii="Arial" w:hAnsi="Arial" w:cs="Arial"/>
                          <w:sz w:val="20"/>
                          <w:szCs w:val="20"/>
                          <w:lang w:val="en-GB" w:eastAsia="ja-JP"/>
                        </w:rPr>
                        <w:t>For 120 kHz SSB with SSB-CORESET0 Multiplexing Pattern 3 (FDM mux)</w:t>
                      </w:r>
                    </w:p>
                    <w:p w14:paraId="5EB18720" w14:textId="77777777" w:rsidR="007A5CC6" w:rsidRDefault="007A5CC6" w:rsidP="00AB44F9">
                      <w:pPr>
                        <w:pStyle w:val="ListParagraph"/>
                        <w:numPr>
                          <w:ilvl w:val="1"/>
                          <w:numId w:val="38"/>
                        </w:numPr>
                        <w:ind w:left="1440"/>
                        <w:rPr>
                          <w:rFonts w:ascii="Arial" w:hAnsi="Arial" w:cs="Arial"/>
                          <w:sz w:val="20"/>
                          <w:szCs w:val="20"/>
                          <w:lang w:val="en-GB" w:eastAsia="ja-JP"/>
                        </w:rPr>
                      </w:pPr>
                      <w:r>
                        <w:rPr>
                          <w:rFonts w:ascii="Arial" w:hAnsi="Arial" w:cs="Arial"/>
                          <w:sz w:val="20"/>
                          <w:szCs w:val="20"/>
                          <w:lang w:val="en-GB" w:eastAsia="ja-JP"/>
                        </w:rPr>
                        <w:t>The existing Rel-15 CORESET0 configuration tables are usable "as is" for all practical spectral utilization values for the case of 24 RB CORESET0</w:t>
                      </w:r>
                    </w:p>
                    <w:p w14:paraId="6E680104" w14:textId="10CB34B4" w:rsidR="007A5CC6" w:rsidRPr="00FA61B8" w:rsidRDefault="007A5CC6" w:rsidP="00AB44F9">
                      <w:pPr>
                        <w:pStyle w:val="ListParagraph"/>
                        <w:numPr>
                          <w:ilvl w:val="1"/>
                          <w:numId w:val="38"/>
                        </w:numPr>
                        <w:ind w:left="1440"/>
                        <w:rPr>
                          <w:rFonts w:ascii="Arial" w:hAnsi="Arial" w:cs="Arial"/>
                          <w:sz w:val="20"/>
                          <w:szCs w:val="20"/>
                          <w:lang w:val="en-GB" w:eastAsia="ja-JP"/>
                        </w:rPr>
                      </w:pPr>
                      <w:r w:rsidRPr="00AB44F9">
                        <w:rPr>
                          <w:rFonts w:ascii="Arial" w:hAnsi="Arial" w:cs="Arial"/>
                          <w:sz w:val="20"/>
                          <w:szCs w:val="20"/>
                          <w:lang w:val="en-GB" w:eastAsia="ja-JP"/>
                        </w:rPr>
                        <w:t>No new SSB-CORESET0 offsets need to be defined</w:t>
                      </w:r>
                    </w:p>
                  </w:txbxContent>
                </v:textbox>
                <w10:wrap type="topAndBottom" anchorx="margin"/>
              </v:shape>
            </w:pict>
          </mc:Fallback>
        </mc:AlternateContent>
      </w:r>
      <w:r w:rsidR="00305048">
        <w:t xml:space="preserve">In </w:t>
      </w:r>
      <w:r w:rsidR="000D3820">
        <w:fldChar w:fldCharType="begin"/>
      </w:r>
      <w:r w:rsidR="000D3820">
        <w:instrText xml:space="preserve"> REF _Ref67478663 \r \h </w:instrText>
      </w:r>
      <w:r w:rsidR="000A5ED3">
        <w:instrText xml:space="preserve"> \* MERGEFORMAT </w:instrText>
      </w:r>
      <w:r w:rsidR="000D3820">
        <w:fldChar w:fldCharType="separate"/>
      </w:r>
      <w:r w:rsidR="000D3820">
        <w:t>[9]</w:t>
      </w:r>
      <w:r w:rsidR="000D3820">
        <w:fldChar w:fldCharType="end"/>
      </w:r>
      <w:r w:rsidR="00D65A95">
        <w:t>,</w:t>
      </w:r>
      <w:r w:rsidR="000D3820">
        <w:t xml:space="preserve"> </w:t>
      </w:r>
      <w:r w:rsidR="00305048">
        <w:t xml:space="preserve">an extensive analysis of </w:t>
      </w:r>
      <w:r w:rsidR="00AD48A2">
        <w:t>the</w:t>
      </w:r>
      <w:r w:rsidR="00305048">
        <w:t xml:space="preserve"> exemplary channelization</w:t>
      </w:r>
      <w:r w:rsidR="00AD48A2">
        <w:t xml:space="preserve"> </w:t>
      </w:r>
      <w:r w:rsidR="00AB44F9">
        <w:t>is done. It is shown how</w:t>
      </w:r>
      <w:r w:rsidR="00305048">
        <w:t xml:space="preserve"> the </w:t>
      </w:r>
      <w:r w:rsidR="00AB44F9">
        <w:t xml:space="preserve">channel raster can be defined for the exemplary fixed channelization and how sync raster points can be selected based on the ARFCN selection. It is also shown that in general the sync raster points selected for the minimum channel bandwidths can be used also for channels of larger channel bandwidths of the same SCS. The main </w:t>
      </w:r>
      <w:r w:rsidR="00305048">
        <w:t xml:space="preserve">observations </w:t>
      </w:r>
      <w:r w:rsidR="00AB44F9">
        <w:t>assuming 100 MHz minimum bandwidth are copied</w:t>
      </w:r>
      <w:r w:rsidR="00305048">
        <w:t xml:space="preserve"> here</w:t>
      </w:r>
      <w:r w:rsidR="00AB44F9">
        <w:t xml:space="preserve"> for convenience:</w:t>
      </w:r>
    </w:p>
    <w:p w14:paraId="7F1E240D" w14:textId="77777777" w:rsidR="000A5ED3" w:rsidRDefault="000A5ED3" w:rsidP="000A5ED3">
      <w:pPr>
        <w:jc w:val="both"/>
      </w:pPr>
    </w:p>
    <w:p w14:paraId="716BF90E" w14:textId="326B6061" w:rsidR="00AD48A2" w:rsidRDefault="00DE35AD" w:rsidP="000A5ED3">
      <w:pPr>
        <w:jc w:val="both"/>
      </w:pPr>
      <w:r>
        <w:t xml:space="preserve">In the analysis, it was also observed that for the case of 120 kHz SCS SSB, the set of sync raster points selected to be able to support SSB-CORESET0 multiplexing pattern 1 does not fully intersect with the set of sync raster points required to be able to support also SSB-CORESET0 multiplexing pattern 3 with existing RB offset values. Multiplexing pattern 1 is essential to be able to provide enough RBs for SIB1 transmissions for 100 MHz channels, while multiplexing pattern 3 can be used for larger bandwidths and for smaller SIB1 transmissions. </w:t>
      </w:r>
      <w:r w:rsidR="00A5791E">
        <w:t xml:space="preserve">For the case of 240 kHz SSB only SSB-CORESET0 multiplexing pattern 1 is applicable. </w:t>
      </w:r>
    </w:p>
    <w:p w14:paraId="444CA934" w14:textId="5C5D312B" w:rsidR="004A742D" w:rsidRDefault="00A5791E" w:rsidP="000A5ED3">
      <w:pPr>
        <w:jc w:val="both"/>
      </w:pPr>
      <w:r>
        <w:t>Based on th</w:t>
      </w:r>
      <w:r w:rsidR="00AD48A2">
        <w:t>ese observations</w:t>
      </w:r>
      <w:r>
        <w:t>, we can conclude that with 100 MH</w:t>
      </w:r>
      <w:r w:rsidR="000A5ED3">
        <w:t>z</w:t>
      </w:r>
      <w:r>
        <w:t xml:space="preserve"> minimum bandwidth and </w:t>
      </w:r>
      <w:r w:rsidR="000D3820">
        <w:t xml:space="preserve">as long as the spectral utilization is </w:t>
      </w:r>
      <w:r w:rsidR="00DA595B">
        <w:t xml:space="preserve">at least 85% (59 RB Transmission bandwidth configuration) the values defined </w:t>
      </w:r>
      <w:r>
        <w:t>in Table 13-8 and Table 13-10 in 38.213</w:t>
      </w:r>
      <w:r w:rsidR="00DA595B">
        <w:t xml:space="preserve"> for FR2 operation can be used also in the 57 – 71 GHz spectrum range. </w:t>
      </w:r>
      <w:r w:rsidR="00571D81">
        <w:t>Hence, we propose:</w:t>
      </w:r>
    </w:p>
    <w:p w14:paraId="5236E551" w14:textId="4B498C18" w:rsidR="00451B3E" w:rsidRDefault="008E21AF">
      <w:pPr>
        <w:pStyle w:val="Proposal"/>
      </w:pPr>
      <w:bookmarkStart w:id="12" w:name="_Toc68549380"/>
      <w:r>
        <w:t xml:space="preserve">For </w:t>
      </w:r>
      <w:r w:rsidR="00571D81">
        <w:t>the case when {SS/PBCH block, PDCCH} SCS is {120, 120} kHz, Table 13.8 in 38.213 can be used for operation in 57 – 71 GHz.</w:t>
      </w:r>
      <w:bookmarkEnd w:id="12"/>
      <w:r w:rsidR="00571D81">
        <w:t xml:space="preserve"> </w:t>
      </w:r>
    </w:p>
    <w:p w14:paraId="1890739C" w14:textId="05BCE97F" w:rsidR="008517A7" w:rsidRDefault="00571D81" w:rsidP="00FA61B8">
      <w:pPr>
        <w:pStyle w:val="Proposal"/>
      </w:pPr>
      <w:bookmarkStart w:id="13" w:name="_Toc68549381"/>
      <w:r>
        <w:t>For the case when {SS/PBCH, PDCCH} SCS is {240, 120} kHz, Table 13-10 in 38.13 can be used for operation in 57 – 71 GHz.</w:t>
      </w:r>
      <w:bookmarkEnd w:id="13"/>
      <w:r>
        <w:t xml:space="preserve"> </w:t>
      </w:r>
      <w:r w:rsidR="004E2341">
        <w:t xml:space="preserve"> </w:t>
      </w:r>
    </w:p>
    <w:p w14:paraId="3E895C8F" w14:textId="40EF4CEC" w:rsidR="00A86334" w:rsidRDefault="00A86334" w:rsidP="000A5ED3">
      <w:pPr>
        <w:jc w:val="both"/>
      </w:pPr>
      <w:r>
        <w:t>Next, we move</w:t>
      </w:r>
      <w:r w:rsidR="00A5791E">
        <w:t xml:space="preserve"> to the topic of UE search comple</w:t>
      </w:r>
      <w:r>
        <w:t xml:space="preserve">xity. </w:t>
      </w:r>
      <w:r w:rsidR="00A5791E">
        <w:t xml:space="preserve">For </w:t>
      </w:r>
      <w:r>
        <w:t xml:space="preserve">Rel-15/16 </w:t>
      </w:r>
      <w:r w:rsidR="00A5791E">
        <w:t xml:space="preserve">FR2, the minimum channel bandwidth is 50 MHz and the sync raster granularity </w:t>
      </w:r>
      <w:proofErr w:type="gramStart"/>
      <w:r w:rsidR="00A5791E">
        <w:t>is</w:t>
      </w:r>
      <w:proofErr w:type="gramEnd"/>
      <w:r w:rsidR="00A5791E">
        <w:t xml:space="preserve"> 17.28 </w:t>
      </w:r>
      <w:proofErr w:type="spellStart"/>
      <w:r w:rsidR="00A5791E">
        <w:t>MHz.</w:t>
      </w:r>
      <w:proofErr w:type="spellEnd"/>
      <w:r w:rsidR="00A5791E">
        <w:t xml:space="preserve"> The largest defined FR2 band is n259, spanning 4 GHz (see Table 5.2.1 in </w:t>
      </w:r>
      <w:r w:rsidR="00A5791E">
        <w:fldChar w:fldCharType="begin"/>
      </w:r>
      <w:r w:rsidR="00A5791E">
        <w:instrText xml:space="preserve"> REF _Ref60847000 \r \h </w:instrText>
      </w:r>
      <w:r w:rsidR="000A5ED3">
        <w:instrText xml:space="preserve"> \* MERGEFORMAT </w:instrText>
      </w:r>
      <w:r w:rsidR="00A5791E">
        <w:fldChar w:fldCharType="separate"/>
      </w:r>
      <w:r w:rsidR="00A5791E">
        <w:t>[2]</w:t>
      </w:r>
      <w:r w:rsidR="00A5791E">
        <w:fldChar w:fldCharType="end"/>
      </w:r>
      <w:r w:rsidR="00A5791E">
        <w:t xml:space="preserve">). For this band (see Table 5.4.3.3-1 in </w:t>
      </w:r>
      <w:r w:rsidR="00A5791E">
        <w:fldChar w:fldCharType="begin"/>
      </w:r>
      <w:r w:rsidR="00A5791E">
        <w:instrText xml:space="preserve"> REF _Ref60847000 \r \h </w:instrText>
      </w:r>
      <w:r w:rsidR="000A5ED3">
        <w:instrText xml:space="preserve"> \* MERGEFORMAT </w:instrText>
      </w:r>
      <w:r w:rsidR="00A5791E">
        <w:fldChar w:fldCharType="separate"/>
      </w:r>
      <w:r w:rsidR="00A5791E">
        <w:t>[2]</w:t>
      </w:r>
      <w:r w:rsidR="00A5791E">
        <w:fldChar w:fldCharType="end"/>
      </w:r>
      <w:r w:rsidR="00A5791E">
        <w:t xml:space="preserve">) there are 230 possible GSCN values for 120 kHz SCS (every sync raster point is valid) and 114 possible GSCN values for 240 kHz SCS (every second sync raster point is valid), resulting in a total of 344 possible GSCN values to search. Considering all FR2 bands together, the total number of sync raster points to search is 1206. </w:t>
      </w:r>
    </w:p>
    <w:p w14:paraId="37D9EE9E" w14:textId="34CF9117" w:rsidR="0061226F" w:rsidRDefault="000A5ED3" w:rsidP="000A5ED3">
      <w:pPr>
        <w:jc w:val="both"/>
      </w:pPr>
      <w:r>
        <w:t>In contrast, u</w:t>
      </w:r>
      <w:r w:rsidR="0061226F">
        <w:t>sing the exemplary fixed channelization with 100 MHz minimum channel bandwidth for the 57 – 71 GHz range, the SSB search complexity is 140 sync raster points per subcarrier spacing defined for initial access</w:t>
      </w:r>
      <w:r w:rsidR="00460049">
        <w:t xml:space="preserve">, see </w:t>
      </w:r>
      <w:r w:rsidR="00460049">
        <w:fldChar w:fldCharType="begin"/>
      </w:r>
      <w:r w:rsidR="00460049">
        <w:instrText xml:space="preserve"> REF _Ref68172692 \h </w:instrText>
      </w:r>
      <w:r>
        <w:instrText xml:space="preserve"> \* MERGEFORMAT </w:instrText>
      </w:r>
      <w:r w:rsidR="00460049">
        <w:fldChar w:fldCharType="separate"/>
      </w:r>
      <w:r w:rsidR="00460049">
        <w:t xml:space="preserve">Table </w:t>
      </w:r>
      <w:r w:rsidR="00460049">
        <w:rPr>
          <w:noProof/>
        </w:rPr>
        <w:t>3</w:t>
      </w:r>
      <w:r w:rsidR="00460049">
        <w:fldChar w:fldCharType="end"/>
      </w:r>
      <w:r w:rsidR="0061226F">
        <w:t>.</w:t>
      </w:r>
      <w:r w:rsidR="00460049">
        <w:t xml:space="preserve"> Supporting initial access for 120 and 240 kHz SCS gives a significantly smaller search complexity (280) compared to the full Rel-15</w:t>
      </w:r>
      <w:r w:rsidR="00585218">
        <w:t>/16</w:t>
      </w:r>
      <w:r w:rsidR="00460049">
        <w:t xml:space="preserve"> FR2 range (1206) and a clearly smaller search complexity compared to the largest currently defined FR2 band</w:t>
      </w:r>
      <w:r w:rsidR="00585218">
        <w:t xml:space="preserve"> (344)</w:t>
      </w:r>
      <w:r w:rsidR="00460049">
        <w:t>.</w:t>
      </w:r>
      <w:r w:rsidR="0061226F">
        <w:t xml:space="preserve"> As indicated above, this is assuming SSB-CORESET0 multiplexing 1 is fully supported for 100 MHz channels and SSB-CORESET0 multiplexing pattern 3 can be used for a subset of the 100 MHz channels. </w:t>
      </w:r>
      <w:proofErr w:type="gramStart"/>
      <w:r w:rsidR="0061226F">
        <w:t>Also</w:t>
      </w:r>
      <w:proofErr w:type="gramEnd"/>
      <w:r w:rsidR="0061226F">
        <w:t xml:space="preserve"> for Rel-15/16 FR2 operation, only a subset of the rows in Tables 13-8 and 13-10 are applicable for minimum bandwidth channels, hence, we do not regard this as a severe restriction. </w:t>
      </w:r>
    </w:p>
    <w:p w14:paraId="1D049723" w14:textId="4B54BA92" w:rsidR="0061226F" w:rsidRDefault="0061226F" w:rsidP="0061226F">
      <w:pPr>
        <w:pStyle w:val="Caption"/>
      </w:pPr>
      <w:bookmarkStart w:id="14" w:name="_Ref68172692"/>
      <w:r>
        <w:t xml:space="preserve">Table </w:t>
      </w:r>
      <w:r>
        <w:fldChar w:fldCharType="begin"/>
      </w:r>
      <w:r>
        <w:instrText xml:space="preserve"> SEQ Table \* ARABIC </w:instrText>
      </w:r>
      <w:r>
        <w:fldChar w:fldCharType="separate"/>
      </w:r>
      <w:r>
        <w:rPr>
          <w:noProof/>
        </w:rPr>
        <w:t>3</w:t>
      </w:r>
      <w:r>
        <w:fldChar w:fldCharType="end"/>
      </w:r>
      <w:bookmarkEnd w:id="14"/>
      <w:r>
        <w:t xml:space="preserve"> SSB search complexity</w:t>
      </w:r>
    </w:p>
    <w:tbl>
      <w:tblPr>
        <w:tblStyle w:val="TableGrid"/>
        <w:tblW w:w="0" w:type="auto"/>
        <w:tblLook w:val="04A0" w:firstRow="1" w:lastRow="0" w:firstColumn="1" w:lastColumn="0" w:noHBand="0" w:noVBand="1"/>
      </w:tblPr>
      <w:tblGrid>
        <w:gridCol w:w="3823"/>
        <w:gridCol w:w="2268"/>
        <w:gridCol w:w="2409"/>
      </w:tblGrid>
      <w:tr w:rsidR="00E51E6C" w14:paraId="335E25D3" w14:textId="77777777" w:rsidTr="00E51E6C">
        <w:tc>
          <w:tcPr>
            <w:tcW w:w="3823" w:type="dxa"/>
          </w:tcPr>
          <w:p w14:paraId="2E4FA756" w14:textId="21D1546C" w:rsidR="00E51E6C" w:rsidRDefault="00E51E6C" w:rsidP="00A5791E"/>
        </w:tc>
        <w:tc>
          <w:tcPr>
            <w:tcW w:w="2268" w:type="dxa"/>
          </w:tcPr>
          <w:p w14:paraId="40D35ABF" w14:textId="06591041" w:rsidR="00E51E6C" w:rsidRDefault="00E51E6C" w:rsidP="00A5791E">
            <w:r>
              <w:t>SSB SCS for Initial access</w:t>
            </w:r>
          </w:p>
        </w:tc>
        <w:tc>
          <w:tcPr>
            <w:tcW w:w="2409" w:type="dxa"/>
          </w:tcPr>
          <w:p w14:paraId="074D1653" w14:textId="6E624E23" w:rsidR="00E51E6C" w:rsidRDefault="00E51E6C" w:rsidP="00A5791E">
            <w:r>
              <w:t>Search complexity</w:t>
            </w:r>
          </w:p>
        </w:tc>
      </w:tr>
      <w:tr w:rsidR="00E51E6C" w14:paraId="7F84A6CD" w14:textId="77777777" w:rsidTr="00E51E6C">
        <w:tc>
          <w:tcPr>
            <w:tcW w:w="3823" w:type="dxa"/>
          </w:tcPr>
          <w:p w14:paraId="3DDDE7EB" w14:textId="6BAC2323" w:rsidR="00E51E6C" w:rsidRDefault="00E51E6C" w:rsidP="00A5791E">
            <w:r>
              <w:t>Rel-15/16 FR2, largest band</w:t>
            </w:r>
          </w:p>
        </w:tc>
        <w:tc>
          <w:tcPr>
            <w:tcW w:w="2268" w:type="dxa"/>
          </w:tcPr>
          <w:p w14:paraId="0516FB2A" w14:textId="30734C42" w:rsidR="00E51E6C" w:rsidRDefault="00E51E6C" w:rsidP="00A5791E">
            <w:r>
              <w:t>120 + 240</w:t>
            </w:r>
          </w:p>
        </w:tc>
        <w:tc>
          <w:tcPr>
            <w:tcW w:w="2409" w:type="dxa"/>
          </w:tcPr>
          <w:p w14:paraId="5DAE3719" w14:textId="5ED49A0D" w:rsidR="00E51E6C" w:rsidRDefault="00E51E6C" w:rsidP="00A5791E">
            <w:r>
              <w:t>344</w:t>
            </w:r>
          </w:p>
        </w:tc>
      </w:tr>
      <w:tr w:rsidR="00E51E6C" w14:paraId="0975DB24" w14:textId="77777777" w:rsidTr="00E51E6C">
        <w:tc>
          <w:tcPr>
            <w:tcW w:w="3823" w:type="dxa"/>
          </w:tcPr>
          <w:p w14:paraId="1EFFF5D2" w14:textId="2398E90D" w:rsidR="00E51E6C" w:rsidRDefault="00E51E6C" w:rsidP="00A5791E">
            <w:r>
              <w:t>Rel-15/16 FR2, total over all 4 bands</w:t>
            </w:r>
          </w:p>
        </w:tc>
        <w:tc>
          <w:tcPr>
            <w:tcW w:w="2268" w:type="dxa"/>
          </w:tcPr>
          <w:p w14:paraId="5C8629C4" w14:textId="3C32D3B6" w:rsidR="00E51E6C" w:rsidRDefault="00E51E6C" w:rsidP="00A5791E">
            <w:r>
              <w:t>120 + 240</w:t>
            </w:r>
          </w:p>
        </w:tc>
        <w:tc>
          <w:tcPr>
            <w:tcW w:w="2409" w:type="dxa"/>
          </w:tcPr>
          <w:p w14:paraId="21FD320D" w14:textId="349A1EB3" w:rsidR="00E51E6C" w:rsidRDefault="00E51E6C" w:rsidP="00A5791E">
            <w:r>
              <w:t>1206</w:t>
            </w:r>
          </w:p>
        </w:tc>
      </w:tr>
      <w:tr w:rsidR="00E51E6C" w14:paraId="6FE2A15B" w14:textId="77777777" w:rsidTr="00E51E6C">
        <w:tc>
          <w:tcPr>
            <w:tcW w:w="3823" w:type="dxa"/>
          </w:tcPr>
          <w:p w14:paraId="0964B352" w14:textId="758D33CC" w:rsidR="00E51E6C" w:rsidRDefault="0061226F" w:rsidP="00A5791E">
            <w:r>
              <w:t xml:space="preserve">Operation in </w:t>
            </w:r>
            <w:r w:rsidR="00E51E6C">
              <w:t>57 – 71 GHz</w:t>
            </w:r>
          </w:p>
        </w:tc>
        <w:tc>
          <w:tcPr>
            <w:tcW w:w="2268" w:type="dxa"/>
          </w:tcPr>
          <w:p w14:paraId="77400FF3" w14:textId="624B6887" w:rsidR="00E51E6C" w:rsidRDefault="00E51E6C" w:rsidP="00A5791E">
            <w:r>
              <w:t>120</w:t>
            </w:r>
          </w:p>
        </w:tc>
        <w:tc>
          <w:tcPr>
            <w:tcW w:w="2409" w:type="dxa"/>
          </w:tcPr>
          <w:p w14:paraId="6FB0E233" w14:textId="6059CF8F" w:rsidR="00E51E6C" w:rsidRDefault="00E51E6C" w:rsidP="00A5791E">
            <w:r>
              <w:t>140</w:t>
            </w:r>
          </w:p>
        </w:tc>
      </w:tr>
      <w:tr w:rsidR="00E51E6C" w14:paraId="4F52BD61" w14:textId="77777777" w:rsidTr="00E51E6C">
        <w:tc>
          <w:tcPr>
            <w:tcW w:w="3823" w:type="dxa"/>
          </w:tcPr>
          <w:p w14:paraId="4808CC4A" w14:textId="2286E2B1" w:rsidR="00E51E6C" w:rsidRDefault="0061226F" w:rsidP="00A5791E">
            <w:r>
              <w:t xml:space="preserve">Operation in </w:t>
            </w:r>
            <w:r w:rsidR="00E51E6C">
              <w:t>57 – 71 GHz</w:t>
            </w:r>
          </w:p>
        </w:tc>
        <w:tc>
          <w:tcPr>
            <w:tcW w:w="2268" w:type="dxa"/>
          </w:tcPr>
          <w:p w14:paraId="14920DEC" w14:textId="1129D181" w:rsidR="00E51E6C" w:rsidRDefault="00E51E6C" w:rsidP="00A5791E">
            <w:r>
              <w:t>120 + 240</w:t>
            </w:r>
          </w:p>
        </w:tc>
        <w:tc>
          <w:tcPr>
            <w:tcW w:w="2409" w:type="dxa"/>
          </w:tcPr>
          <w:p w14:paraId="422CE4CF" w14:textId="635D22DA" w:rsidR="00E51E6C" w:rsidRDefault="00E51E6C" w:rsidP="00A5791E">
            <w:r>
              <w:t>280</w:t>
            </w:r>
          </w:p>
        </w:tc>
      </w:tr>
    </w:tbl>
    <w:p w14:paraId="3D93A3C6" w14:textId="77777777" w:rsidR="00E51E6C" w:rsidRDefault="00E51E6C" w:rsidP="00A5791E"/>
    <w:p w14:paraId="47964CBA" w14:textId="514E7071" w:rsidR="00A5791E" w:rsidRDefault="0061226F" w:rsidP="000A5ED3">
      <w:pPr>
        <w:jc w:val="both"/>
      </w:pPr>
      <w:r>
        <w:rPr>
          <w:lang w:val="en-GB" w:eastAsia="ja-JP"/>
        </w:rPr>
        <w:t>In order to fully support Pattern 3 for all 100 MHz channels, an additional set of GSCN values could be defined over and above the set of 140 for Pattern 1. While this increases the UE search complexity to some extent, the overall search complexity is still low, especially when comparing to the FR2 bands in Rel-15.</w:t>
      </w:r>
      <w:r w:rsidR="00A86334">
        <w:t xml:space="preserve"> </w:t>
      </w:r>
    </w:p>
    <w:p w14:paraId="6C0A60DF" w14:textId="2EF8A1D6" w:rsidR="00A5791E" w:rsidRDefault="00A5791E" w:rsidP="000A5ED3">
      <w:pPr>
        <w:pStyle w:val="Observation"/>
        <w:tabs>
          <w:tab w:val="clear" w:pos="1701"/>
        </w:tabs>
        <w:ind w:left="1620" w:hanging="1620"/>
      </w:pPr>
      <w:bookmarkStart w:id="15" w:name="_Toc68549372"/>
      <w:r>
        <w:t xml:space="preserve">Using a fixed channel design, the UE SSB search complexity </w:t>
      </w:r>
      <w:r w:rsidR="000A5ED3">
        <w:t xml:space="preserve">when supporting both 120 and 240 kHz SSB for initial access </w:t>
      </w:r>
      <w:r>
        <w:t xml:space="preserve">is </w:t>
      </w:r>
      <w:r w:rsidR="000A5ED3">
        <w:t>less than</w:t>
      </w:r>
      <w:r>
        <w:t xml:space="preserve"> the legacy FR2 search complexity</w:t>
      </w:r>
      <w:r w:rsidR="000A5ED3">
        <w:t>.</w:t>
      </w:r>
      <w:bookmarkEnd w:id="15"/>
    </w:p>
    <w:p w14:paraId="2F5BB5C9" w14:textId="7EBC81EA" w:rsidR="00F1068F" w:rsidRDefault="006463A4" w:rsidP="00F1068F">
      <w:pPr>
        <w:pStyle w:val="Heading3"/>
      </w:pPr>
      <w:r w:rsidRPr="009A1D6E">
        <w:t>2.1.</w:t>
      </w:r>
      <w:r w:rsidR="00D35DFF">
        <w:t>4</w:t>
      </w:r>
      <w:r w:rsidR="00F1068F">
        <w:tab/>
      </w:r>
      <w:r w:rsidR="00F1068F" w:rsidRPr="00512993">
        <w:t>SSB time domain pattern</w:t>
      </w:r>
      <w:r w:rsidR="00F1068F">
        <w:t>s</w:t>
      </w:r>
      <w:r w:rsidR="000A5ED3">
        <w:t xml:space="preserve"> </w:t>
      </w:r>
      <w:r w:rsidR="00F1068F" w:rsidRPr="009A1D6E">
        <w:t xml:space="preserve">for </w:t>
      </w:r>
      <w:r w:rsidR="000A5ED3">
        <w:t>SSB with 480/960 kHz SCS</w:t>
      </w:r>
    </w:p>
    <w:p w14:paraId="7C2A225B" w14:textId="40A8E339" w:rsidR="00881D84" w:rsidRPr="00451B3E" w:rsidRDefault="00106B7E" w:rsidP="00FA61B8">
      <w:r>
        <w:rPr>
          <w:noProof/>
          <w:lang w:eastAsia="x-none"/>
        </w:rPr>
        <mc:AlternateContent>
          <mc:Choice Requires="wps">
            <w:drawing>
              <wp:anchor distT="0" distB="0" distL="114300" distR="114300" simplePos="0" relativeHeight="251658241" behindDoc="0" locked="0" layoutInCell="1" allowOverlap="1" wp14:anchorId="44532418" wp14:editId="1441A8E6">
                <wp:simplePos x="0" y="0"/>
                <wp:positionH relativeFrom="margin">
                  <wp:align>right</wp:align>
                </wp:positionH>
                <wp:positionV relativeFrom="paragraph">
                  <wp:posOffset>413606</wp:posOffset>
                </wp:positionV>
                <wp:extent cx="6098540" cy="1463040"/>
                <wp:effectExtent l="0" t="0" r="16510" b="22860"/>
                <wp:wrapTopAndBottom/>
                <wp:docPr id="7" name="Text Box 7"/>
                <wp:cNvGraphicFramePr/>
                <a:graphic xmlns:a="http://schemas.openxmlformats.org/drawingml/2006/main">
                  <a:graphicData uri="http://schemas.microsoft.com/office/word/2010/wordprocessingShape">
                    <wps:wsp>
                      <wps:cNvSpPr txBox="1"/>
                      <wps:spPr>
                        <a:xfrm>
                          <a:off x="0" y="0"/>
                          <a:ext cx="6098540" cy="1463040"/>
                        </a:xfrm>
                        <a:prstGeom prst="rect">
                          <a:avLst/>
                        </a:prstGeom>
                        <a:solidFill>
                          <a:schemeClr val="lt1"/>
                        </a:solidFill>
                        <a:ln w="6350">
                          <a:solidFill>
                            <a:prstClr val="black"/>
                          </a:solidFill>
                        </a:ln>
                      </wps:spPr>
                      <wps:txbx>
                        <w:txbxContent>
                          <w:p w14:paraId="3360CFD5" w14:textId="77777777" w:rsidR="007A5CC6" w:rsidRPr="00106B7E" w:rsidRDefault="007A5CC6" w:rsidP="00106B7E">
                            <w:pPr>
                              <w:spacing w:after="0"/>
                              <w:rPr>
                                <w:rFonts w:ascii="Times New Roman" w:hAnsi="Times New Roman" w:cs="Times New Roman"/>
                                <w:lang w:eastAsia="x-none"/>
                              </w:rPr>
                            </w:pPr>
                            <w:r w:rsidRPr="00106B7E">
                              <w:rPr>
                                <w:rFonts w:ascii="Times New Roman" w:hAnsi="Times New Roman" w:cs="Times New Roman"/>
                                <w:highlight w:val="green"/>
                                <w:lang w:eastAsia="x-none"/>
                              </w:rPr>
                              <w:t>Agreement</w:t>
                            </w:r>
                            <w:r w:rsidRPr="00106B7E">
                              <w:rPr>
                                <w:rFonts w:ascii="Times New Roman" w:hAnsi="Times New Roman" w:cs="Times New Roman"/>
                                <w:lang w:eastAsia="x-none"/>
                              </w:rPr>
                              <w:t>:</w:t>
                            </w:r>
                          </w:p>
                          <w:p w14:paraId="2411E5F0" w14:textId="77777777" w:rsidR="007A5CC6" w:rsidRPr="00106B7E" w:rsidRDefault="007A5CC6" w:rsidP="00106B7E">
                            <w:pPr>
                              <w:pStyle w:val="BodyText"/>
                              <w:tabs>
                                <w:tab w:val="left" w:pos="0"/>
                              </w:tabs>
                              <w:spacing w:after="0"/>
                              <w:rPr>
                                <w:rFonts w:ascii="Times New Roman" w:hAnsi="Times New Roman" w:cs="Times New Roman"/>
                                <w:szCs w:val="20"/>
                              </w:rPr>
                            </w:pPr>
                            <w:r w:rsidRPr="00106B7E">
                              <w:rPr>
                                <w:rFonts w:ascii="Times New Roman" w:hAnsi="Times New Roman" w:cs="Times New Roman"/>
                                <w:szCs w:val="20"/>
                              </w:rPr>
                              <w:t>For 480 kHz and 960 kHz SSB SCS (if agreed)</w:t>
                            </w:r>
                          </w:p>
                          <w:p w14:paraId="5DAEED92" w14:textId="77777777" w:rsidR="007A5CC6" w:rsidRPr="00106B7E" w:rsidRDefault="007A5CC6" w:rsidP="00106B7E">
                            <w:pPr>
                              <w:pStyle w:val="BodyText"/>
                              <w:numPr>
                                <w:ilvl w:val="0"/>
                                <w:numId w:val="34"/>
                              </w:numPr>
                              <w:tabs>
                                <w:tab w:val="left" w:pos="0"/>
                              </w:tabs>
                              <w:spacing w:after="0"/>
                              <w:rPr>
                                <w:rFonts w:ascii="Times New Roman" w:hAnsi="Times New Roman" w:cs="Times New Roman"/>
                                <w:szCs w:val="20"/>
                              </w:rPr>
                            </w:pPr>
                            <w:r w:rsidRPr="00106B7E">
                              <w:rPr>
                                <w:rFonts w:ascii="Times New Roman" w:hAnsi="Times New Roman" w:cs="Times New Roman"/>
                                <w:szCs w:val="20"/>
                              </w:rPr>
                              <w:t>Study further on reserving symbol gap between SSB positions with different SSB index (and possibly between SSB position and other signal/channels)</w:t>
                            </w:r>
                          </w:p>
                          <w:p w14:paraId="1ADCDB86" w14:textId="77777777" w:rsidR="007A5CC6" w:rsidRPr="00106B7E" w:rsidRDefault="007A5CC6" w:rsidP="00106B7E">
                            <w:pPr>
                              <w:pStyle w:val="BodyText"/>
                              <w:numPr>
                                <w:ilvl w:val="1"/>
                                <w:numId w:val="34"/>
                              </w:numPr>
                              <w:tabs>
                                <w:tab w:val="left" w:pos="0"/>
                              </w:tabs>
                              <w:spacing w:after="0"/>
                              <w:rPr>
                                <w:rFonts w:ascii="Times New Roman" w:hAnsi="Times New Roman" w:cs="Times New Roman"/>
                                <w:szCs w:val="20"/>
                              </w:rPr>
                            </w:pPr>
                            <w:r w:rsidRPr="00106B7E">
                              <w:rPr>
                                <w:rFonts w:ascii="Times New Roman" w:hAnsi="Times New Roman" w:cs="Times New Roman"/>
                                <w:szCs w:val="20"/>
                              </w:rPr>
                              <w:t>FFS: whether symbol gap is needed for only 960 kHz or both 480 and 960 kHz.</w:t>
                            </w:r>
                          </w:p>
                          <w:p w14:paraId="25DE6339" w14:textId="77777777" w:rsidR="007A5CC6" w:rsidRPr="00106B7E" w:rsidRDefault="007A5CC6" w:rsidP="00106B7E">
                            <w:pPr>
                              <w:pStyle w:val="BodyText"/>
                              <w:numPr>
                                <w:ilvl w:val="0"/>
                                <w:numId w:val="34"/>
                              </w:numPr>
                              <w:spacing w:after="0"/>
                              <w:rPr>
                                <w:rFonts w:ascii="Times New Roman" w:hAnsi="Times New Roman" w:cs="Times New Roman"/>
                                <w:szCs w:val="20"/>
                              </w:rPr>
                            </w:pPr>
                            <w:r w:rsidRPr="00106B7E">
                              <w:rPr>
                                <w:rFonts w:ascii="Times New Roman" w:hAnsi="Times New Roman" w:cs="Times New Roman"/>
                                <w:szCs w:val="20"/>
                              </w:rPr>
                              <w:t>Study further on reserving gap for UL/DL switching within the pattern accounting possibility for reserving UL transmission occasions in the SSB pattern</w:t>
                            </w:r>
                          </w:p>
                          <w:p w14:paraId="1716D544" w14:textId="5F913661" w:rsidR="007A5CC6" w:rsidRPr="00106B7E" w:rsidRDefault="007A5CC6" w:rsidP="00106B7E">
                            <w:pPr>
                              <w:pStyle w:val="ListParagraph"/>
                              <w:numPr>
                                <w:ilvl w:val="0"/>
                                <w:numId w:val="34"/>
                              </w:numPr>
                              <w:rPr>
                                <w:rFonts w:ascii="Times New Roman" w:hAnsi="Times New Roman" w:cs="Times New Roman"/>
                                <w:szCs w:val="20"/>
                                <w:lang w:eastAsia="zh-CN"/>
                              </w:rPr>
                            </w:pPr>
                            <w:r w:rsidRPr="00106B7E">
                              <w:rPr>
                                <w:rFonts w:ascii="Times New Roman" w:eastAsiaTheme="minorHAnsi" w:hAnsi="Times New Roman" w:cs="Times New Roman"/>
                                <w:sz w:val="20"/>
                                <w:szCs w:val="20"/>
                                <w:lang w:val="en-US" w:eastAsia="zh-CN"/>
                              </w:rPr>
                              <w:t>Study should account for inputs from RAN4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32418" id="Text Box 7" o:spid="_x0000_s1028" type="#_x0000_t202" style="position:absolute;margin-left:429pt;margin-top:32.55pt;width:480.2pt;height:115.2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" fillcolor="white [3201]" strokeweight=".5pt">
                <v:textbox>
                  <w:txbxContent>
                    <w:p w14:paraId="3360CFD5" w14:textId="77777777" w:rsidR="007A5CC6" w:rsidRPr="00106B7E" w:rsidRDefault="007A5CC6" w:rsidP="00106B7E">
                      <w:pPr>
                        <w:spacing w:after="0"/>
                        <w:rPr>
                          <w:rFonts w:ascii="Times New Roman" w:hAnsi="Times New Roman" w:cs="Times New Roman"/>
                          <w:lang w:eastAsia="x-none"/>
                        </w:rPr>
                      </w:pPr>
                      <w:r w:rsidRPr="00106B7E">
                        <w:rPr>
                          <w:rFonts w:ascii="Times New Roman" w:hAnsi="Times New Roman" w:cs="Times New Roman"/>
                          <w:highlight w:val="green"/>
                          <w:lang w:eastAsia="x-none"/>
                        </w:rPr>
                        <w:t>Agreement</w:t>
                      </w:r>
                      <w:r w:rsidRPr="00106B7E">
                        <w:rPr>
                          <w:rFonts w:ascii="Times New Roman" w:hAnsi="Times New Roman" w:cs="Times New Roman"/>
                          <w:lang w:eastAsia="x-none"/>
                        </w:rPr>
                        <w:t>:</w:t>
                      </w:r>
                    </w:p>
                    <w:p w14:paraId="2411E5F0" w14:textId="77777777" w:rsidR="007A5CC6" w:rsidRPr="00106B7E" w:rsidRDefault="007A5CC6" w:rsidP="00106B7E">
                      <w:pPr>
                        <w:pStyle w:val="BodyText"/>
                        <w:tabs>
                          <w:tab w:val="left" w:pos="0"/>
                        </w:tabs>
                        <w:spacing w:after="0"/>
                        <w:rPr>
                          <w:rFonts w:ascii="Times New Roman" w:hAnsi="Times New Roman" w:cs="Times New Roman"/>
                          <w:szCs w:val="20"/>
                        </w:rPr>
                      </w:pPr>
                      <w:r w:rsidRPr="00106B7E">
                        <w:rPr>
                          <w:rFonts w:ascii="Times New Roman" w:hAnsi="Times New Roman" w:cs="Times New Roman"/>
                          <w:szCs w:val="20"/>
                        </w:rPr>
                        <w:t>For 480 kHz and 960 kHz SSB SCS (if agreed)</w:t>
                      </w:r>
                    </w:p>
                    <w:p w14:paraId="5DAEED92" w14:textId="77777777" w:rsidR="007A5CC6" w:rsidRPr="00106B7E" w:rsidRDefault="007A5CC6" w:rsidP="00106B7E">
                      <w:pPr>
                        <w:pStyle w:val="BodyText"/>
                        <w:numPr>
                          <w:ilvl w:val="0"/>
                          <w:numId w:val="34"/>
                        </w:numPr>
                        <w:tabs>
                          <w:tab w:val="left" w:pos="0"/>
                        </w:tabs>
                        <w:spacing w:after="0"/>
                        <w:rPr>
                          <w:rFonts w:ascii="Times New Roman" w:hAnsi="Times New Roman" w:cs="Times New Roman"/>
                          <w:szCs w:val="20"/>
                        </w:rPr>
                      </w:pPr>
                      <w:r w:rsidRPr="00106B7E">
                        <w:rPr>
                          <w:rFonts w:ascii="Times New Roman" w:hAnsi="Times New Roman" w:cs="Times New Roman"/>
                          <w:szCs w:val="20"/>
                        </w:rPr>
                        <w:t>Study further on reserving symbol gap between SSB positions with different SSB index (and possibly between SSB position and other signal/channels)</w:t>
                      </w:r>
                    </w:p>
                    <w:p w14:paraId="1ADCDB86" w14:textId="77777777" w:rsidR="007A5CC6" w:rsidRPr="00106B7E" w:rsidRDefault="007A5CC6" w:rsidP="00106B7E">
                      <w:pPr>
                        <w:pStyle w:val="BodyText"/>
                        <w:numPr>
                          <w:ilvl w:val="1"/>
                          <w:numId w:val="34"/>
                        </w:numPr>
                        <w:tabs>
                          <w:tab w:val="left" w:pos="0"/>
                        </w:tabs>
                        <w:spacing w:after="0"/>
                        <w:rPr>
                          <w:rFonts w:ascii="Times New Roman" w:hAnsi="Times New Roman" w:cs="Times New Roman"/>
                          <w:szCs w:val="20"/>
                        </w:rPr>
                      </w:pPr>
                      <w:r w:rsidRPr="00106B7E">
                        <w:rPr>
                          <w:rFonts w:ascii="Times New Roman" w:hAnsi="Times New Roman" w:cs="Times New Roman"/>
                          <w:szCs w:val="20"/>
                        </w:rPr>
                        <w:t>FFS: whether symbol gap is needed for only 960 kHz or both 480 and 960 kHz.</w:t>
                      </w:r>
                    </w:p>
                    <w:p w14:paraId="25DE6339" w14:textId="77777777" w:rsidR="007A5CC6" w:rsidRPr="00106B7E" w:rsidRDefault="007A5CC6" w:rsidP="00106B7E">
                      <w:pPr>
                        <w:pStyle w:val="BodyText"/>
                        <w:numPr>
                          <w:ilvl w:val="0"/>
                          <w:numId w:val="34"/>
                        </w:numPr>
                        <w:spacing w:after="0"/>
                        <w:rPr>
                          <w:rFonts w:ascii="Times New Roman" w:hAnsi="Times New Roman" w:cs="Times New Roman"/>
                          <w:szCs w:val="20"/>
                        </w:rPr>
                      </w:pPr>
                      <w:r w:rsidRPr="00106B7E">
                        <w:rPr>
                          <w:rFonts w:ascii="Times New Roman" w:hAnsi="Times New Roman" w:cs="Times New Roman"/>
                          <w:szCs w:val="20"/>
                        </w:rPr>
                        <w:t>Study further on reserving gap for UL/DL switching within the pattern accounting possibility for reserving UL transmission occasions in the SSB pattern</w:t>
                      </w:r>
                    </w:p>
                    <w:p w14:paraId="1716D544" w14:textId="5F913661" w:rsidR="007A5CC6" w:rsidRPr="00106B7E" w:rsidRDefault="007A5CC6" w:rsidP="00106B7E">
                      <w:pPr>
                        <w:pStyle w:val="ListParagraph"/>
                        <w:numPr>
                          <w:ilvl w:val="0"/>
                          <w:numId w:val="34"/>
                        </w:numPr>
                        <w:rPr>
                          <w:rFonts w:ascii="Times New Roman" w:hAnsi="Times New Roman" w:cs="Times New Roman"/>
                          <w:szCs w:val="20"/>
                          <w:lang w:eastAsia="zh-CN"/>
                        </w:rPr>
                      </w:pPr>
                      <w:r w:rsidRPr="00106B7E">
                        <w:rPr>
                          <w:rFonts w:ascii="Times New Roman" w:eastAsiaTheme="minorHAnsi" w:hAnsi="Times New Roman" w:cs="Times New Roman"/>
                          <w:sz w:val="20"/>
                          <w:szCs w:val="20"/>
                          <w:lang w:val="en-US" w:eastAsia="zh-CN"/>
                        </w:rPr>
                        <w:t>Study should account for inputs from RAN4</w:t>
                      </w:r>
                    </w:p>
                  </w:txbxContent>
                </v:textbox>
                <w10:wrap type="topAndBottom" anchorx="margin"/>
              </v:shape>
            </w:pict>
          </mc:Fallback>
        </mc:AlternateContent>
      </w:r>
      <w:r w:rsidR="00881D84">
        <w:t>In RAN1#104e, the following agreement was made</w:t>
      </w:r>
      <w:r>
        <w:t xml:space="preserve">, and as </w:t>
      </w:r>
      <w:r>
        <w:rPr>
          <w:lang w:val="en-GB" w:eastAsia="ja-JP"/>
        </w:rPr>
        <w:t>we propose in Section 2.1.1, we support</w:t>
      </w:r>
      <w:r w:rsidRPr="00106B7E">
        <w:t xml:space="preserve"> </w:t>
      </w:r>
      <w:r>
        <w:t>SS/PBCH block with 480 and 960 kHz SCS for use cases other than initial access (e.g. for an (P)</w:t>
      </w:r>
      <w:proofErr w:type="spellStart"/>
      <w:r>
        <w:t>SCell</w:t>
      </w:r>
      <w:proofErr w:type="spellEnd"/>
      <w:r>
        <w:t>).</w:t>
      </w:r>
    </w:p>
    <w:p w14:paraId="0FAEBA41" w14:textId="77777777" w:rsidR="00FA61B8" w:rsidRDefault="00FA61B8" w:rsidP="00512993">
      <w:pPr>
        <w:rPr>
          <w:lang w:val="en-GB" w:eastAsia="ja-JP"/>
        </w:rPr>
      </w:pPr>
    </w:p>
    <w:p w14:paraId="549E129E" w14:textId="3DD5CB45" w:rsidR="008E6747" w:rsidRPr="00512993" w:rsidRDefault="00B563F2" w:rsidP="000A5ED3">
      <w:pPr>
        <w:jc w:val="both"/>
        <w:rPr>
          <w:lang w:val="en-GB" w:eastAsia="ja-JP"/>
        </w:rPr>
      </w:pPr>
      <w:r>
        <w:rPr>
          <w:lang w:val="en-GB" w:eastAsia="ja-JP"/>
        </w:rPr>
        <w:t>For FR2, SS</w:t>
      </w:r>
      <w:r w:rsidR="00C1201F">
        <w:rPr>
          <w:lang w:val="en-GB" w:eastAsia="ja-JP"/>
        </w:rPr>
        <w:t>/PBCH block</w:t>
      </w:r>
      <w:r>
        <w:rPr>
          <w:lang w:val="en-GB" w:eastAsia="ja-JP"/>
        </w:rPr>
        <w:t xml:space="preserve"> time domain patterns are defined for 120</w:t>
      </w:r>
      <w:r w:rsidR="0022438F">
        <w:rPr>
          <w:lang w:val="en-GB" w:eastAsia="ja-JP"/>
        </w:rPr>
        <w:t xml:space="preserve"> </w:t>
      </w:r>
      <w:r w:rsidR="001631D9">
        <w:rPr>
          <w:lang w:val="en-GB" w:eastAsia="ja-JP"/>
        </w:rPr>
        <w:t xml:space="preserve">kHz </w:t>
      </w:r>
      <w:r w:rsidR="0022438F">
        <w:rPr>
          <w:lang w:val="en-GB" w:eastAsia="ja-JP"/>
        </w:rPr>
        <w:t>(Case D)</w:t>
      </w:r>
      <w:r>
        <w:rPr>
          <w:lang w:val="en-GB" w:eastAsia="ja-JP"/>
        </w:rPr>
        <w:t xml:space="preserve"> and 240 kHz</w:t>
      </w:r>
      <w:r w:rsidR="0022438F">
        <w:rPr>
          <w:lang w:val="en-GB" w:eastAsia="ja-JP"/>
        </w:rPr>
        <w:t xml:space="preserve"> (Case E)</w:t>
      </w:r>
      <w:r>
        <w:rPr>
          <w:lang w:val="en-GB" w:eastAsia="ja-JP"/>
        </w:rPr>
        <w:t xml:space="preserve"> SCS. These patterns are designed to</w:t>
      </w:r>
      <w:r w:rsidR="002C0E84">
        <w:rPr>
          <w:lang w:val="en-GB" w:eastAsia="ja-JP"/>
        </w:rPr>
        <w:t xml:space="preserve"> support operation with SS</w:t>
      </w:r>
      <w:r w:rsidR="001631D9">
        <w:rPr>
          <w:lang w:val="en-GB" w:eastAsia="ja-JP"/>
        </w:rPr>
        <w:t>/P</w:t>
      </w:r>
      <w:r w:rsidR="002C0E84">
        <w:rPr>
          <w:lang w:val="en-GB" w:eastAsia="ja-JP"/>
        </w:rPr>
        <w:t>B</w:t>
      </w:r>
      <w:r w:rsidR="001631D9">
        <w:rPr>
          <w:lang w:val="en-GB" w:eastAsia="ja-JP"/>
        </w:rPr>
        <w:t>CH transmission</w:t>
      </w:r>
      <w:r w:rsidR="002C0E84">
        <w:rPr>
          <w:lang w:val="en-GB" w:eastAsia="ja-JP"/>
        </w:rPr>
        <w:t xml:space="preserve"> </w:t>
      </w:r>
      <w:r w:rsidR="001631D9">
        <w:rPr>
          <w:lang w:val="en-GB" w:eastAsia="ja-JP"/>
        </w:rPr>
        <w:t>with</w:t>
      </w:r>
      <w:r w:rsidR="002C0E84">
        <w:rPr>
          <w:lang w:val="en-GB" w:eastAsia="ja-JP"/>
        </w:rPr>
        <w:t xml:space="preserve"> a different SCS than for data and control channels, for example SS</w:t>
      </w:r>
      <w:r w:rsidR="001631D9">
        <w:rPr>
          <w:lang w:val="en-GB" w:eastAsia="ja-JP"/>
        </w:rPr>
        <w:t>/PBCH</w:t>
      </w:r>
      <w:r w:rsidR="002C0E84">
        <w:rPr>
          <w:lang w:val="en-GB" w:eastAsia="ja-JP"/>
        </w:rPr>
        <w:t xml:space="preserve"> with 240 kHz</w:t>
      </w:r>
      <w:r w:rsidR="001631D9">
        <w:rPr>
          <w:lang w:val="en-GB" w:eastAsia="ja-JP"/>
        </w:rPr>
        <w:t xml:space="preserve"> SCS</w:t>
      </w:r>
      <w:r w:rsidR="002C0E84" w:rsidDel="001631D9">
        <w:rPr>
          <w:lang w:val="en-GB" w:eastAsia="ja-JP"/>
        </w:rPr>
        <w:t xml:space="preserve"> </w:t>
      </w:r>
      <w:r w:rsidR="002C0E84">
        <w:rPr>
          <w:lang w:val="en-GB" w:eastAsia="ja-JP"/>
        </w:rPr>
        <w:t xml:space="preserve">and data/control with 60 or 120 kHz SCS. </w:t>
      </w:r>
      <w:r w:rsidR="002F315D">
        <w:rPr>
          <w:lang w:val="en-GB" w:eastAsia="ja-JP"/>
        </w:rPr>
        <w:t>The patterns are also designed</w:t>
      </w:r>
      <w:r w:rsidR="002F315D" w:rsidDel="003A2347">
        <w:rPr>
          <w:lang w:val="en-GB" w:eastAsia="ja-JP"/>
        </w:rPr>
        <w:t xml:space="preserve"> </w:t>
      </w:r>
      <w:r w:rsidR="00406CB7">
        <w:rPr>
          <w:lang w:val="en-GB" w:eastAsia="ja-JP"/>
        </w:rPr>
        <w:t xml:space="preserve">with a longer gap (2 slots) between certain SSBs </w:t>
      </w:r>
      <w:r w:rsidR="00B76097">
        <w:rPr>
          <w:lang w:val="en-GB" w:eastAsia="ja-JP"/>
        </w:rPr>
        <w:t>to allow</w:t>
      </w:r>
      <w:r w:rsidR="002F315D">
        <w:rPr>
          <w:lang w:val="en-GB" w:eastAsia="ja-JP"/>
        </w:rPr>
        <w:t xml:space="preserve"> </w:t>
      </w:r>
      <w:r w:rsidR="001631D9">
        <w:rPr>
          <w:lang w:val="en-GB" w:eastAsia="ja-JP"/>
        </w:rPr>
        <w:t>slot</w:t>
      </w:r>
      <w:r w:rsidR="00B76097">
        <w:rPr>
          <w:lang w:val="en-GB" w:eastAsia="ja-JP"/>
        </w:rPr>
        <w:t>-length</w:t>
      </w:r>
      <w:r w:rsidR="0013466F">
        <w:rPr>
          <w:lang w:val="en-GB" w:eastAsia="ja-JP"/>
        </w:rPr>
        <w:t xml:space="preserve"> and sub-slot</w:t>
      </w:r>
      <w:r w:rsidR="00B76097">
        <w:rPr>
          <w:lang w:val="en-GB" w:eastAsia="ja-JP"/>
        </w:rPr>
        <w:t>-length</w:t>
      </w:r>
      <w:r w:rsidR="002F315D">
        <w:rPr>
          <w:lang w:val="en-GB" w:eastAsia="ja-JP"/>
        </w:rPr>
        <w:t xml:space="preserve"> UL and DL transmissions </w:t>
      </w:r>
      <w:r w:rsidR="00B76097">
        <w:rPr>
          <w:lang w:val="en-GB" w:eastAsia="ja-JP"/>
        </w:rPr>
        <w:t xml:space="preserve">even when </w:t>
      </w:r>
      <w:r w:rsidR="002F315D">
        <w:rPr>
          <w:lang w:val="en-GB" w:eastAsia="ja-JP"/>
        </w:rPr>
        <w:t>a large number of SSB beams is used.</w:t>
      </w:r>
    </w:p>
    <w:p w14:paraId="12143D08" w14:textId="76827E10" w:rsidR="00DB6B30" w:rsidRDefault="002C0E84" w:rsidP="000A5ED3">
      <w:pPr>
        <w:jc w:val="both"/>
        <w:rPr>
          <w:lang w:val="en-GB" w:eastAsia="ja-JP"/>
        </w:rPr>
      </w:pPr>
      <w:r>
        <w:rPr>
          <w:lang w:val="en-GB" w:eastAsia="ja-JP"/>
        </w:rPr>
        <w:t>As SS</w:t>
      </w:r>
      <w:r w:rsidR="00C1201F">
        <w:rPr>
          <w:lang w:val="en-GB" w:eastAsia="ja-JP"/>
        </w:rPr>
        <w:t>/PBCH block</w:t>
      </w:r>
      <w:r>
        <w:rPr>
          <w:lang w:val="en-GB" w:eastAsia="ja-JP"/>
        </w:rPr>
        <w:t xml:space="preserve"> patterns are already specified for 120 and 240 kHz SCS operation, and we do not see any reason to change these</w:t>
      </w:r>
      <w:r w:rsidR="00B76097">
        <w:rPr>
          <w:lang w:val="en-GB" w:eastAsia="ja-JP"/>
        </w:rPr>
        <w:t>. Hence</w:t>
      </w:r>
      <w:r>
        <w:rPr>
          <w:lang w:val="en-GB" w:eastAsia="ja-JP"/>
        </w:rPr>
        <w:t xml:space="preserve"> the discussion </w:t>
      </w:r>
      <w:r w:rsidR="00B76097">
        <w:rPr>
          <w:lang w:val="en-GB" w:eastAsia="ja-JP"/>
        </w:rPr>
        <w:t xml:space="preserve">here </w:t>
      </w:r>
      <w:r>
        <w:rPr>
          <w:lang w:val="en-GB" w:eastAsia="ja-JP"/>
        </w:rPr>
        <w:t xml:space="preserve">will focus on time domain patterns </w:t>
      </w:r>
      <w:r w:rsidR="00451B3E">
        <w:rPr>
          <w:lang w:val="en-GB" w:eastAsia="ja-JP"/>
        </w:rPr>
        <w:t>of SS</w:t>
      </w:r>
      <w:r w:rsidR="00C1201F">
        <w:rPr>
          <w:lang w:val="en-GB" w:eastAsia="ja-JP"/>
        </w:rPr>
        <w:t>/PBCH block</w:t>
      </w:r>
      <w:r w:rsidR="00451B3E">
        <w:rPr>
          <w:lang w:val="en-GB" w:eastAsia="ja-JP"/>
        </w:rPr>
        <w:t xml:space="preserve"> </w:t>
      </w:r>
      <w:r>
        <w:rPr>
          <w:lang w:val="en-GB" w:eastAsia="ja-JP"/>
        </w:rPr>
        <w:t>for 480 and 960 kHz SCS</w:t>
      </w:r>
      <w:r w:rsidR="00451B3E">
        <w:rPr>
          <w:lang w:val="en-GB" w:eastAsia="ja-JP"/>
        </w:rPr>
        <w:t xml:space="preserve"> (if agreed)</w:t>
      </w:r>
      <w:r>
        <w:rPr>
          <w:lang w:val="en-GB" w:eastAsia="ja-JP"/>
        </w:rPr>
        <w:t>.</w:t>
      </w:r>
      <w:r w:rsidR="00B76097">
        <w:rPr>
          <w:lang w:val="en-GB" w:eastAsia="ja-JP"/>
        </w:rPr>
        <w:t xml:space="preserve"> </w:t>
      </w:r>
      <w:r w:rsidR="00DB6B30">
        <w:rPr>
          <w:lang w:val="en-GB" w:eastAsia="ja-JP"/>
        </w:rPr>
        <w:t>There are several aspects to consider when designing the SS</w:t>
      </w:r>
      <w:r w:rsidR="00C1201F">
        <w:rPr>
          <w:lang w:val="en-GB" w:eastAsia="ja-JP"/>
        </w:rPr>
        <w:t>/PBCH block</w:t>
      </w:r>
      <w:r w:rsidR="00DB6B30">
        <w:rPr>
          <w:lang w:val="en-GB" w:eastAsia="ja-JP"/>
        </w:rPr>
        <w:t xml:space="preserve"> time domain patterns for larger SCS, and before discussing the details it makes sense to agree on what design principles to focus on.</w:t>
      </w:r>
    </w:p>
    <w:p w14:paraId="432A46D6" w14:textId="6FF39B11" w:rsidR="00F6332D" w:rsidRPr="00F6332D" w:rsidRDefault="00F6332D" w:rsidP="00C1201F">
      <w:pPr>
        <w:keepNext/>
        <w:rPr>
          <w:b/>
          <w:bCs/>
          <w:u w:val="single"/>
          <w:lang w:val="en-GB" w:eastAsia="ja-JP"/>
        </w:rPr>
      </w:pPr>
      <w:r w:rsidRPr="00F6332D">
        <w:rPr>
          <w:b/>
          <w:bCs/>
          <w:u w:val="single"/>
          <w:lang w:val="en-GB" w:eastAsia="ja-JP"/>
        </w:rPr>
        <w:t>Gaps between SSB beams</w:t>
      </w:r>
    </w:p>
    <w:p w14:paraId="698F60DB" w14:textId="13E5FBF8" w:rsidR="002C0E84" w:rsidRDefault="00DB6B30" w:rsidP="000A5ED3">
      <w:pPr>
        <w:jc w:val="both"/>
        <w:rPr>
          <w:lang w:val="en-GB" w:eastAsia="ja-JP"/>
        </w:rPr>
      </w:pPr>
      <w:r>
        <w:rPr>
          <w:lang w:val="en-GB" w:eastAsia="ja-JP"/>
        </w:rPr>
        <w:t>Gaps can be use</w:t>
      </w:r>
      <w:r w:rsidR="002C0E84">
        <w:rPr>
          <w:lang w:val="en-GB" w:eastAsia="ja-JP"/>
        </w:rPr>
        <w:t xml:space="preserve">ful for various reasons: for short UL or DL transmissions (a few symbols), for longer UL or DL transmissions (a few slots), or for beam switching (if cyclic prefix is not judged to be long enough for this). </w:t>
      </w:r>
    </w:p>
    <w:p w14:paraId="5DF91F00" w14:textId="1AF579C3" w:rsidR="002C0E84" w:rsidRDefault="002C0E84" w:rsidP="000A5ED3">
      <w:pPr>
        <w:jc w:val="both"/>
        <w:rPr>
          <w:lang w:val="en-GB" w:eastAsia="ja-JP"/>
        </w:rPr>
      </w:pPr>
      <w:r>
        <w:rPr>
          <w:lang w:val="en-GB" w:eastAsia="ja-JP"/>
        </w:rPr>
        <w:t>When increasing the SCS, the time duration of a 64 beam SS</w:t>
      </w:r>
      <w:r w:rsidR="0013466F">
        <w:rPr>
          <w:lang w:val="en-GB" w:eastAsia="ja-JP"/>
        </w:rPr>
        <w:t>/P</w:t>
      </w:r>
      <w:r>
        <w:rPr>
          <w:lang w:val="en-GB" w:eastAsia="ja-JP"/>
        </w:rPr>
        <w:t>B</w:t>
      </w:r>
      <w:r w:rsidR="0013466F">
        <w:rPr>
          <w:lang w:val="en-GB" w:eastAsia="ja-JP"/>
        </w:rPr>
        <w:t>CH</w:t>
      </w:r>
      <w:r>
        <w:rPr>
          <w:lang w:val="en-GB" w:eastAsia="ja-JP"/>
        </w:rPr>
        <w:t xml:space="preserve"> transmission is reduced substantially. </w:t>
      </w:r>
      <w:r w:rsidR="00F6332D">
        <w:rPr>
          <w:lang w:val="en-GB" w:eastAsia="ja-JP"/>
        </w:rPr>
        <w:t>For example, if</w:t>
      </w:r>
      <w:r w:rsidR="00F6332D" w:rsidDel="0013466F">
        <w:rPr>
          <w:lang w:val="en-GB" w:eastAsia="ja-JP"/>
        </w:rPr>
        <w:t xml:space="preserve"> </w:t>
      </w:r>
      <w:r w:rsidR="00F6332D">
        <w:rPr>
          <w:lang w:val="en-GB" w:eastAsia="ja-JP"/>
        </w:rPr>
        <w:t>64 SS</w:t>
      </w:r>
      <w:r w:rsidR="0013466F">
        <w:rPr>
          <w:lang w:val="en-GB" w:eastAsia="ja-JP"/>
        </w:rPr>
        <w:t>/PBCH</w:t>
      </w:r>
      <w:r w:rsidR="00F6332D">
        <w:rPr>
          <w:lang w:val="en-GB" w:eastAsia="ja-JP"/>
        </w:rPr>
        <w:t xml:space="preserve"> beams are transmitted in 32 slots, the time </w:t>
      </w:r>
      <w:r w:rsidR="00B76097">
        <w:rPr>
          <w:lang w:val="en-GB" w:eastAsia="ja-JP"/>
        </w:rPr>
        <w:t xml:space="preserve">duration </w:t>
      </w:r>
      <w:r w:rsidR="00F6332D">
        <w:rPr>
          <w:lang w:val="en-GB" w:eastAsia="ja-JP"/>
        </w:rPr>
        <w:t>of the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 sweep is 0.5 </w:t>
      </w:r>
      <w:proofErr w:type="spellStart"/>
      <w:r w:rsidR="00F6332D">
        <w:rPr>
          <w:lang w:val="en-GB" w:eastAsia="ja-JP"/>
        </w:rPr>
        <w:t>ms</w:t>
      </w:r>
      <w:proofErr w:type="spellEnd"/>
      <w:r w:rsidR="00F6332D">
        <w:rPr>
          <w:lang w:val="en-GB" w:eastAsia="ja-JP"/>
        </w:rPr>
        <w:t xml:space="preserve"> if 960 kHz SCS is used. Using 480 kHz SCS, the corresponding time </w:t>
      </w:r>
      <w:r w:rsidR="00B76097">
        <w:rPr>
          <w:lang w:val="en-GB" w:eastAsia="ja-JP"/>
        </w:rPr>
        <w:t xml:space="preserve">duration </w:t>
      </w:r>
      <w:r w:rsidR="00F6332D">
        <w:rPr>
          <w:lang w:val="en-GB" w:eastAsia="ja-JP"/>
        </w:rPr>
        <w:t xml:space="preserve">is 1 </w:t>
      </w:r>
      <w:proofErr w:type="spellStart"/>
      <w:r w:rsidR="00F6332D">
        <w:rPr>
          <w:lang w:val="en-GB" w:eastAsia="ja-JP"/>
        </w:rPr>
        <w:t>ms</w:t>
      </w:r>
      <w:proofErr w:type="spellEnd"/>
      <w:r w:rsidR="00F6332D">
        <w:rPr>
          <w:lang w:val="en-GB" w:eastAsia="ja-JP"/>
        </w:rPr>
        <w:t xml:space="preserve">. With these short beam sweep times, the need </w:t>
      </w:r>
      <w:r w:rsidR="00406CB7">
        <w:rPr>
          <w:lang w:val="en-GB" w:eastAsia="ja-JP"/>
        </w:rPr>
        <w:t xml:space="preserve">to define </w:t>
      </w:r>
      <w:r w:rsidR="00F6332D">
        <w:rPr>
          <w:lang w:val="en-GB" w:eastAsia="ja-JP"/>
        </w:rPr>
        <w:t>longer gaps between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beams for PDSCH/PUSCH transmissions is reduced.</w:t>
      </w:r>
    </w:p>
    <w:p w14:paraId="3F7C9C79" w14:textId="7B58165A" w:rsidR="00451B3E" w:rsidRDefault="00D05755" w:rsidP="000A5ED3">
      <w:pPr>
        <w:jc w:val="both"/>
        <w:rPr>
          <w:lang w:val="en-GB" w:eastAsia="ja-JP"/>
        </w:rPr>
      </w:pPr>
      <w:r>
        <w:rPr>
          <w:lang w:val="en-GB" w:eastAsia="ja-JP"/>
        </w:rPr>
        <w:t xml:space="preserve">To be able to utilize the gaps between the </w:t>
      </w:r>
      <w:r w:rsidR="00C770D4">
        <w:rPr>
          <w:lang w:val="en-GB" w:eastAsia="ja-JP"/>
        </w:rPr>
        <w:t xml:space="preserve">SS/PBCH block </w:t>
      </w:r>
      <w:r>
        <w:rPr>
          <w:lang w:val="en-GB" w:eastAsia="ja-JP"/>
        </w:rPr>
        <w:t xml:space="preserve">beams for short UL transmissions, they need to be large enough to fit DL/UL + UL/DL switching and one or two symbols for transmission in-between. </w:t>
      </w:r>
      <w:r w:rsidR="00655200">
        <w:rPr>
          <w:lang w:val="en-GB" w:eastAsia="ja-JP"/>
        </w:rPr>
        <w:t xml:space="preserve">In </w:t>
      </w:r>
      <w:r w:rsidR="003F4006">
        <w:rPr>
          <w:lang w:val="en-GB" w:eastAsia="ja-JP"/>
        </w:rPr>
        <w:fldChar w:fldCharType="begin"/>
      </w:r>
      <w:r w:rsidR="003F4006">
        <w:rPr>
          <w:lang w:val="en-GB" w:eastAsia="ja-JP"/>
        </w:rPr>
        <w:instrText xml:space="preserve"> REF _Ref61010403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3F4006">
        <w:rPr>
          <w:lang w:val="en-GB" w:eastAsia="ja-JP"/>
        </w:rPr>
        <w:t>[4]</w:t>
      </w:r>
      <w:r w:rsidR="003F4006">
        <w:rPr>
          <w:lang w:val="en-GB" w:eastAsia="ja-JP"/>
        </w:rPr>
        <w:fldChar w:fldCharType="end"/>
      </w:r>
      <w:r w:rsidR="00655200">
        <w:rPr>
          <w:lang w:val="en-GB" w:eastAsia="ja-JP"/>
        </w:rPr>
        <w:t>, the RX-</w:t>
      </w:r>
      <w:r w:rsidDel="00655200">
        <w:rPr>
          <w:lang w:val="en-GB" w:eastAsia="ja-JP"/>
        </w:rPr>
        <w:t>TX</w:t>
      </w:r>
      <w:r>
        <w:rPr>
          <w:lang w:val="en-GB" w:eastAsia="ja-JP"/>
        </w:rPr>
        <w:t xml:space="preserve"> </w:t>
      </w:r>
      <w:r w:rsidR="00655200">
        <w:rPr>
          <w:lang w:val="en-GB" w:eastAsia="ja-JP"/>
        </w:rPr>
        <w:t xml:space="preserve">transition times, </w:t>
      </w:r>
      <w:proofErr w:type="spellStart"/>
      <w:r w:rsidR="00655200" w:rsidRPr="00DC4504">
        <w:rPr>
          <w:i/>
          <w:lang w:val="en-GB" w:eastAsia="ja-JP"/>
        </w:rPr>
        <w:t>N</w:t>
      </w:r>
      <w:r w:rsidR="00655200" w:rsidRPr="00DC4504">
        <w:rPr>
          <w:vertAlign w:val="subscript"/>
          <w:lang w:val="en-GB" w:eastAsia="ja-JP"/>
        </w:rPr>
        <w:t>Rx</w:t>
      </w:r>
      <w:proofErr w:type="spellEnd"/>
      <w:r w:rsidR="00655200" w:rsidRPr="00DC4504">
        <w:rPr>
          <w:vertAlign w:val="subscript"/>
          <w:lang w:val="en-GB" w:eastAsia="ja-JP"/>
        </w:rPr>
        <w:t>-Tx</w:t>
      </w:r>
      <w:r w:rsidR="00655200">
        <w:rPr>
          <w:lang w:val="en-GB" w:eastAsia="ja-JP"/>
        </w:rPr>
        <w:t xml:space="preserve"> and </w:t>
      </w:r>
      <w:proofErr w:type="spellStart"/>
      <w:r w:rsidR="00655200" w:rsidRPr="00DC4504">
        <w:rPr>
          <w:i/>
          <w:lang w:val="en-GB" w:eastAsia="ja-JP"/>
        </w:rPr>
        <w:t>N</w:t>
      </w:r>
      <w:r w:rsidR="00655200" w:rsidRPr="00DC4504">
        <w:rPr>
          <w:vertAlign w:val="subscript"/>
          <w:lang w:val="en-GB" w:eastAsia="ja-JP"/>
        </w:rPr>
        <w:t>Tx</w:t>
      </w:r>
      <w:proofErr w:type="spellEnd"/>
      <w:r w:rsidR="00655200" w:rsidRPr="00DC4504">
        <w:rPr>
          <w:vertAlign w:val="subscript"/>
          <w:lang w:val="en-GB" w:eastAsia="ja-JP"/>
        </w:rPr>
        <w:t>-Rx</w:t>
      </w:r>
      <w:r w:rsidR="00655200">
        <w:rPr>
          <w:lang w:val="en-GB" w:eastAsia="ja-JP"/>
        </w:rPr>
        <w:t>, are specified to</w:t>
      </w:r>
      <w:r w:rsidR="003F4006">
        <w:rPr>
          <w:lang w:val="en-GB" w:eastAsia="ja-JP"/>
        </w:rPr>
        <w:t xml:space="preserve"> 13792*</w:t>
      </w:r>
      <w:r w:rsidR="003F4006" w:rsidRPr="00DC4504">
        <w:rPr>
          <w:i/>
          <w:lang w:val="en-GB" w:eastAsia="ja-JP"/>
        </w:rPr>
        <w:t>T</w:t>
      </w:r>
      <w:r w:rsidR="003F4006" w:rsidRPr="00DC4504">
        <w:rPr>
          <w:vertAlign w:val="subscript"/>
          <w:lang w:val="en-GB" w:eastAsia="ja-JP"/>
        </w:rPr>
        <w:t>c</w:t>
      </w:r>
      <w:r w:rsidR="00655200">
        <w:rPr>
          <w:lang w:val="en-GB" w:eastAsia="ja-JP"/>
        </w:rPr>
        <w:t xml:space="preserve"> </w:t>
      </w:r>
      <w:r w:rsidR="00B76097">
        <w:rPr>
          <w:lang w:val="en-GB" w:eastAsia="ja-JP"/>
        </w:rPr>
        <w:t xml:space="preserve">which translates to </w:t>
      </w:r>
      <w:r>
        <w:rPr>
          <w:lang w:val="en-GB" w:eastAsia="ja-JP"/>
        </w:rPr>
        <w:t xml:space="preserve">approximately 7 </w:t>
      </w:r>
      <w:r>
        <w:rPr>
          <w:rFonts w:cs="Arial"/>
          <w:lang w:val="en-GB" w:eastAsia="ja-JP"/>
        </w:rPr>
        <w:t>µ</w:t>
      </w:r>
      <w:r>
        <w:rPr>
          <w:lang w:val="en-GB" w:eastAsia="ja-JP"/>
        </w:rPr>
        <w:t>s</w:t>
      </w:r>
      <w:r w:rsidR="00B76097">
        <w:rPr>
          <w:lang w:val="en-GB" w:eastAsia="ja-JP"/>
        </w:rPr>
        <w:t xml:space="preserve">. We note that the </w:t>
      </w:r>
      <w:r w:rsidR="003F4006">
        <w:rPr>
          <w:lang w:val="en-GB" w:eastAsia="ja-JP"/>
        </w:rPr>
        <w:t xml:space="preserve">RAN4 requirement is 5 </w:t>
      </w:r>
      <w:r w:rsidR="003F4006">
        <w:rPr>
          <w:rFonts w:cs="Arial"/>
          <w:lang w:val="en-GB" w:eastAsia="ja-JP"/>
        </w:rPr>
        <w:t>µ</w:t>
      </w:r>
      <w:r w:rsidR="003F4006">
        <w:rPr>
          <w:lang w:val="en-GB" w:eastAsia="ja-JP"/>
        </w:rPr>
        <w:t xml:space="preserve">s for the UE </w:t>
      </w:r>
      <w:r w:rsidR="003F4006">
        <w:rPr>
          <w:lang w:val="en-GB" w:eastAsia="ja-JP"/>
        </w:rPr>
        <w:fldChar w:fldCharType="begin"/>
      </w:r>
      <w:r w:rsidR="003F4006">
        <w:rPr>
          <w:lang w:val="en-GB" w:eastAsia="ja-JP"/>
        </w:rPr>
        <w:instrText xml:space="preserve"> REF _Ref60847000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3F4006">
        <w:rPr>
          <w:lang w:val="en-GB" w:eastAsia="ja-JP"/>
        </w:rPr>
        <w:t>[2]</w:t>
      </w:r>
      <w:r w:rsidR="003F4006">
        <w:rPr>
          <w:lang w:val="en-GB" w:eastAsia="ja-JP"/>
        </w:rPr>
        <w:fldChar w:fldCharType="end"/>
      </w:r>
      <w:r>
        <w:rPr>
          <w:lang w:val="en-GB" w:eastAsia="ja-JP"/>
        </w:rPr>
        <w:t>.</w:t>
      </w:r>
      <w:r w:rsidDel="00B76097">
        <w:rPr>
          <w:lang w:val="en-GB" w:eastAsia="ja-JP"/>
        </w:rPr>
        <w:t xml:space="preserve"> </w:t>
      </w:r>
      <w:r w:rsidR="00B76097">
        <w:rPr>
          <w:lang w:val="en-GB" w:eastAsia="ja-JP"/>
        </w:rPr>
        <w:t>For</w:t>
      </w:r>
      <w:r>
        <w:rPr>
          <w:lang w:val="en-GB" w:eastAsia="ja-JP"/>
        </w:rPr>
        <w:t xml:space="preserve"> 960 kHz SCS, one OFDM symbol is approximately 1 </w:t>
      </w:r>
      <w:r>
        <w:rPr>
          <w:rFonts w:cs="Arial"/>
          <w:lang w:val="en-GB" w:eastAsia="ja-JP"/>
        </w:rPr>
        <w:t>µ</w:t>
      </w:r>
      <w:proofErr w:type="spellStart"/>
      <w:r>
        <w:rPr>
          <w:lang w:val="en-GB" w:eastAsia="ja-JP"/>
        </w:rPr>
        <w:t>s</w:t>
      </w:r>
      <w:proofErr w:type="spellEnd"/>
      <w:r>
        <w:rPr>
          <w:lang w:val="en-GB" w:eastAsia="ja-JP"/>
        </w:rPr>
        <w:t xml:space="preserve"> long.</w:t>
      </w:r>
      <w:r w:rsidR="00A833D7">
        <w:rPr>
          <w:lang w:val="en-GB" w:eastAsia="ja-JP"/>
        </w:rPr>
        <w:t xml:space="preserve"> </w:t>
      </w:r>
      <w:r w:rsidR="00B76097">
        <w:rPr>
          <w:lang w:val="en-GB" w:eastAsia="ja-JP"/>
        </w:rPr>
        <w:t>Hence, the switching time translates to a large number of 960 kHz symbols, making the short gaps between SS/PBCH blocks not very useful for UL transmissions.</w:t>
      </w:r>
      <w:r w:rsidR="00A833D7">
        <w:rPr>
          <w:lang w:val="en-GB" w:eastAsia="ja-JP"/>
        </w:rPr>
        <w:t xml:space="preserve"> </w:t>
      </w:r>
    </w:p>
    <w:p w14:paraId="3FE043BE" w14:textId="3ABF9CBE" w:rsidR="00F6332D" w:rsidRPr="00495737" w:rsidRDefault="00A833D7" w:rsidP="000A5ED3">
      <w:pPr>
        <w:jc w:val="both"/>
        <w:rPr>
          <w:lang w:eastAsia="ja-JP"/>
        </w:rPr>
      </w:pPr>
      <w:r>
        <w:rPr>
          <w:lang w:val="en-GB" w:eastAsia="ja-JP"/>
        </w:rPr>
        <w:t xml:space="preserve">According to the WID objectives </w:t>
      </w:r>
      <w:r w:rsidR="009B0BDD">
        <w:rPr>
          <w:lang w:val="en-GB" w:eastAsia="ja-JP"/>
        </w:rPr>
        <w:fldChar w:fldCharType="begin"/>
      </w:r>
      <w:r w:rsidR="009B0BDD">
        <w:rPr>
          <w:lang w:val="en-GB" w:eastAsia="ja-JP"/>
        </w:rPr>
        <w:instrText xml:space="preserve"> REF _Ref60753713 \r \h </w:instrText>
      </w:r>
      <w:r w:rsidR="000A5ED3">
        <w:rPr>
          <w:lang w:val="en-GB" w:eastAsia="ja-JP"/>
        </w:rPr>
        <w:instrText xml:space="preserve"> \* MERGEFORMAT </w:instrText>
      </w:r>
      <w:r w:rsidR="009B0BDD">
        <w:rPr>
          <w:lang w:val="en-GB" w:eastAsia="ja-JP"/>
        </w:rPr>
      </w:r>
      <w:r w:rsidR="009B0BDD">
        <w:rPr>
          <w:lang w:val="en-GB" w:eastAsia="ja-JP"/>
        </w:rPr>
        <w:fldChar w:fldCharType="separate"/>
      </w:r>
      <w:r w:rsidR="009B0BDD">
        <w:rPr>
          <w:lang w:val="en-GB" w:eastAsia="ja-JP"/>
        </w:rPr>
        <w:t>[1]</w:t>
      </w:r>
      <w:r w:rsidR="009B0BDD">
        <w:rPr>
          <w:lang w:val="en-GB" w:eastAsia="ja-JP"/>
        </w:rPr>
        <w:fldChar w:fldCharType="end"/>
      </w:r>
      <w:r>
        <w:rPr>
          <w:lang w:val="en-GB" w:eastAsia="ja-JP"/>
        </w:rPr>
        <w:t xml:space="preserve">, only normal cyclic prefix is </w:t>
      </w:r>
      <w:r w:rsidR="00542F72">
        <w:rPr>
          <w:lang w:val="en-GB" w:eastAsia="ja-JP"/>
        </w:rPr>
        <w:t>to be considered.</w:t>
      </w:r>
      <w:r w:rsidR="00833B7A">
        <w:rPr>
          <w:lang w:val="en-GB" w:eastAsia="ja-JP"/>
        </w:rPr>
        <w:t xml:space="preserve"> Another objective is to adopt a common design framework for 480 and 960 kHz SCS.</w:t>
      </w:r>
      <w:r w:rsidR="00542F72">
        <w:rPr>
          <w:lang w:val="en-GB" w:eastAsia="ja-JP"/>
        </w:rPr>
        <w:t xml:space="preserve"> </w:t>
      </w:r>
      <w:r w:rsidR="00B42EBF">
        <w:rPr>
          <w:lang w:val="en-GB" w:eastAsia="ja-JP"/>
        </w:rPr>
        <w:t>For 960 kHz SCS, the CP length is 73 ns</w:t>
      </w:r>
      <w:r w:rsidR="00451B3E">
        <w:rPr>
          <w:lang w:val="en-GB" w:eastAsia="ja-JP"/>
        </w:rPr>
        <w:t xml:space="preserve"> and for 480 kHz SCS it is </w:t>
      </w:r>
      <w:r w:rsidR="00DE1D49">
        <w:rPr>
          <w:lang w:val="en-GB" w:eastAsia="ja-JP"/>
        </w:rPr>
        <w:t>146 ns</w:t>
      </w:r>
      <w:r w:rsidR="00B42EBF">
        <w:rPr>
          <w:lang w:val="en-GB" w:eastAsia="ja-JP"/>
        </w:rPr>
        <w:t>.</w:t>
      </w:r>
      <w:r w:rsidR="00945387">
        <w:rPr>
          <w:lang w:val="en-GB" w:eastAsia="ja-JP"/>
        </w:rPr>
        <w:t xml:space="preserve"> </w:t>
      </w:r>
      <w:r w:rsidR="00495737">
        <w:rPr>
          <w:lang w:val="en-GB" w:eastAsia="ja-JP"/>
        </w:rPr>
        <w:t xml:space="preserve">According to the TR 38.817-02 </w:t>
      </w:r>
      <w:r w:rsidR="00495737">
        <w:rPr>
          <w:lang w:val="en-GB" w:eastAsia="ja-JP"/>
        </w:rPr>
        <w:fldChar w:fldCharType="begin"/>
      </w:r>
      <w:r w:rsidR="00495737">
        <w:rPr>
          <w:lang w:val="en-GB" w:eastAsia="ja-JP"/>
        </w:rPr>
        <w:instrText xml:space="preserve"> REF _Ref68004703 \r \h </w:instrText>
      </w:r>
      <w:r w:rsidR="000A5ED3">
        <w:rPr>
          <w:lang w:val="en-GB" w:eastAsia="ja-JP"/>
        </w:rPr>
        <w:instrText xml:space="preserve"> \* MERGEFORMAT </w:instrText>
      </w:r>
      <w:r w:rsidR="00495737">
        <w:rPr>
          <w:lang w:val="en-GB" w:eastAsia="ja-JP"/>
        </w:rPr>
      </w:r>
      <w:r w:rsidR="00495737">
        <w:rPr>
          <w:lang w:val="en-GB" w:eastAsia="ja-JP"/>
        </w:rPr>
        <w:fldChar w:fldCharType="separate"/>
      </w:r>
      <w:r w:rsidR="00495737">
        <w:rPr>
          <w:lang w:val="en-GB" w:eastAsia="ja-JP"/>
        </w:rPr>
        <w:t>[10]</w:t>
      </w:r>
      <w:r w:rsidR="00495737">
        <w:rPr>
          <w:lang w:val="en-GB" w:eastAsia="ja-JP"/>
        </w:rPr>
        <w:fldChar w:fldCharType="end"/>
      </w:r>
      <w:r w:rsidR="00495737">
        <w:rPr>
          <w:lang w:val="en-GB" w:eastAsia="ja-JP"/>
        </w:rPr>
        <w:t>, the worst-case</w:t>
      </w:r>
      <w:r w:rsidR="00DE1D49">
        <w:rPr>
          <w:lang w:val="en-GB" w:eastAsia="ja-JP"/>
        </w:rPr>
        <w:t xml:space="preserve"> beam switching </w:t>
      </w:r>
      <w:r w:rsidR="00495737">
        <w:rPr>
          <w:lang w:val="en-GB" w:eastAsia="ja-JP"/>
        </w:rPr>
        <w:t>time is estimated to be below 100 ns. While RAN4 are still discussing this topic,100 ns beam switching time is viewed as conservative</w:t>
      </w:r>
      <w:r w:rsidR="00106B7E">
        <w:rPr>
          <w:lang w:val="en-GB" w:eastAsia="ja-JP"/>
        </w:rPr>
        <w:t>,</w:t>
      </w:r>
      <w:r w:rsidR="00DE1D49">
        <w:rPr>
          <w:lang w:val="en-GB" w:eastAsia="ja-JP"/>
        </w:rPr>
        <w:t xml:space="preserve"> and w</w:t>
      </w:r>
      <w:r w:rsidR="00945387">
        <w:rPr>
          <w:lang w:val="en-GB" w:eastAsia="ja-JP"/>
        </w:rPr>
        <w:t xml:space="preserve">e expect that </w:t>
      </w:r>
      <w:r w:rsidR="00495737">
        <w:rPr>
          <w:lang w:val="en-GB" w:eastAsia="ja-JP"/>
        </w:rPr>
        <w:t>beam</w:t>
      </w:r>
      <w:r w:rsidR="00945387">
        <w:rPr>
          <w:lang w:val="en-GB" w:eastAsia="ja-JP"/>
        </w:rPr>
        <w:t xml:space="preserve"> switching will be able to fit into the CP also for operation with 960 kHz SCS.</w:t>
      </w:r>
      <w:r w:rsidR="00833B7A">
        <w:rPr>
          <w:lang w:val="en-GB" w:eastAsia="ja-JP"/>
        </w:rPr>
        <w:t xml:space="preserve"> </w:t>
      </w:r>
    </w:p>
    <w:p w14:paraId="0EACE71D" w14:textId="24D8A44A" w:rsidR="006835E2" w:rsidRDefault="006835E2" w:rsidP="000A5ED3">
      <w:pPr>
        <w:jc w:val="both"/>
        <w:rPr>
          <w:lang w:val="en-GB" w:eastAsia="ja-JP"/>
        </w:rPr>
      </w:pPr>
      <w:r>
        <w:rPr>
          <w:lang w:val="en-GB" w:eastAsia="ja-JP"/>
        </w:rPr>
        <w:t xml:space="preserve">As stated in the agreement, input from RAN4 should be </w:t>
      </w:r>
      <w:proofErr w:type="gramStart"/>
      <w:r>
        <w:rPr>
          <w:lang w:val="en-GB" w:eastAsia="ja-JP"/>
        </w:rPr>
        <w:t>taken into account</w:t>
      </w:r>
      <w:proofErr w:type="gramEnd"/>
      <w:r>
        <w:rPr>
          <w:lang w:val="en-GB" w:eastAsia="ja-JP"/>
        </w:rPr>
        <w:t xml:space="preserve">. However, </w:t>
      </w:r>
      <w:r w:rsidR="009B6D9A">
        <w:rPr>
          <w:lang w:val="en-GB" w:eastAsia="ja-JP"/>
        </w:rPr>
        <w:t xml:space="preserve">the </w:t>
      </w:r>
      <w:r w:rsidR="00106B7E">
        <w:rPr>
          <w:lang w:val="en-GB" w:eastAsia="ja-JP"/>
        </w:rPr>
        <w:t xml:space="preserve">general </w:t>
      </w:r>
      <w:r w:rsidR="009B6D9A">
        <w:rPr>
          <w:lang w:val="en-GB" w:eastAsia="ja-JP"/>
        </w:rPr>
        <w:t>approach to use when defining SSB time domain patterns can be discussed</w:t>
      </w:r>
      <w:r w:rsidR="00106B7E">
        <w:rPr>
          <w:lang w:val="en-GB" w:eastAsia="ja-JP"/>
        </w:rPr>
        <w:t xml:space="preserve"> before that input is received</w:t>
      </w:r>
      <w:r w:rsidR="009B6D9A">
        <w:rPr>
          <w:lang w:val="en-GB" w:eastAsia="ja-JP"/>
        </w:rPr>
        <w:t xml:space="preserve">. Here, our view is to use a simple approach and not strive for optimizations. </w:t>
      </w:r>
    </w:p>
    <w:p w14:paraId="7679D1B6" w14:textId="68827A8F" w:rsidR="00C1201F" w:rsidRDefault="009B6D9A" w:rsidP="000A5ED3">
      <w:pPr>
        <w:jc w:val="both"/>
        <w:rPr>
          <w:lang w:val="en-GB" w:eastAsia="ja-JP"/>
        </w:rPr>
      </w:pPr>
      <w:r>
        <w:rPr>
          <w:lang w:val="en-GB" w:eastAsia="ja-JP"/>
        </w:rPr>
        <w:t xml:space="preserve">A simple and basic </w:t>
      </w:r>
      <w:r w:rsidR="00BF48ED">
        <w:rPr>
          <w:lang w:val="en-GB" w:eastAsia="ja-JP"/>
        </w:rPr>
        <w:t xml:space="preserve">design approach </w:t>
      </w:r>
      <w:r>
        <w:rPr>
          <w:lang w:val="en-GB" w:eastAsia="ja-JP"/>
        </w:rPr>
        <w:t>is to use the FR2 Case D pattern as a basis for</w:t>
      </w:r>
      <w:r w:rsidR="00BF48ED">
        <w:rPr>
          <w:lang w:val="en-GB" w:eastAsia="ja-JP"/>
        </w:rPr>
        <w:t xml:space="preserve"> the SS</w:t>
      </w:r>
      <w:r w:rsidR="00C1201F">
        <w:rPr>
          <w:lang w:val="en-GB" w:eastAsia="ja-JP"/>
        </w:rPr>
        <w:t>/PBCH block</w:t>
      </w:r>
      <w:r w:rsidR="00BF48ED">
        <w:rPr>
          <w:lang w:val="en-GB" w:eastAsia="ja-JP"/>
        </w:rPr>
        <w:t xml:space="preserve"> time domain patterns for 480 and 960 kHz SCS</w:t>
      </w:r>
      <w:r w:rsidR="00C1201F">
        <w:rPr>
          <w:lang w:val="en-GB" w:eastAsia="ja-JP"/>
        </w:rPr>
        <w:t xml:space="preserve">. The FR2 Case D definition is </w:t>
      </w:r>
      <w:r w:rsidR="00C1201F">
        <w:rPr>
          <w:lang w:val="en-GB" w:eastAsia="ja-JP"/>
        </w:rPr>
        <w:fldChar w:fldCharType="begin"/>
      </w:r>
      <w:r w:rsidR="00C1201F">
        <w:rPr>
          <w:lang w:val="en-GB" w:eastAsia="ja-JP"/>
        </w:rPr>
        <w:instrText xml:space="preserve"> REF _Ref60993913 \r \h </w:instrText>
      </w:r>
      <w:r w:rsidR="000A5ED3">
        <w:rPr>
          <w:lang w:val="en-GB" w:eastAsia="ja-JP"/>
        </w:rPr>
        <w:instrText xml:space="preserve"> \* MERGEFORMAT </w:instrText>
      </w:r>
      <w:r w:rsidR="00C1201F">
        <w:rPr>
          <w:lang w:val="en-GB" w:eastAsia="ja-JP"/>
        </w:rPr>
      </w:r>
      <w:r w:rsidR="00C1201F">
        <w:rPr>
          <w:lang w:val="en-GB" w:eastAsia="ja-JP"/>
        </w:rPr>
        <w:fldChar w:fldCharType="separate"/>
      </w:r>
      <w:r w:rsidR="00C1201F">
        <w:rPr>
          <w:lang w:val="en-GB" w:eastAsia="ja-JP"/>
        </w:rPr>
        <w:t>[3]</w:t>
      </w:r>
      <w:r w:rsidR="00C1201F">
        <w:rPr>
          <w:lang w:val="en-GB" w:eastAsia="ja-JP"/>
        </w:rPr>
        <w:fldChar w:fldCharType="end"/>
      </w:r>
      <w:r w:rsidR="00C1201F">
        <w:rPr>
          <w:lang w:val="en-GB" w:eastAsia="ja-JP"/>
        </w:rPr>
        <w:t>:</w:t>
      </w:r>
    </w:p>
    <w:p w14:paraId="3A6F398A" w14:textId="77777777" w:rsidR="00C1201F" w:rsidRDefault="00C1201F" w:rsidP="00C1201F">
      <w:pPr>
        <w:ind w:left="567"/>
        <w:rPr>
          <w:lang w:eastAsia="ja-JP"/>
        </w:rPr>
      </w:pPr>
      <w:r>
        <w:rPr>
          <w:lang w:eastAsia="ja-JP"/>
        </w:rPr>
        <w:t xml:space="preserve">Case D - 120 kHz </w:t>
      </w:r>
      <w:r>
        <w:t>SCS</w:t>
      </w:r>
      <w:r>
        <w:rPr>
          <w:lang w:eastAsia="ja-JP"/>
        </w:rPr>
        <w:t xml:space="preserve">: the first symbols of the candidate SS/PBCH blocks have indexes </w:t>
      </w:r>
      <w:r>
        <w:rPr>
          <w:iCs/>
          <w:noProof/>
          <w:position w:val="-10"/>
        </w:rPr>
        <w:drawing>
          <wp:inline distT="0" distB="0" distL="0" distR="0" wp14:anchorId="750F76EC" wp14:editId="6D5220CF">
            <wp:extent cx="10134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r>
        <w:t xml:space="preserve">. For carrier frequencies within FR2,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14:paraId="5552B2FB" w14:textId="70A4C11F" w:rsidR="00D67762" w:rsidRDefault="00C1201F" w:rsidP="000A5ED3">
      <w:pPr>
        <w:jc w:val="both"/>
        <w:rPr>
          <w:lang w:val="en-GB" w:eastAsia="ja-JP"/>
        </w:rPr>
      </w:pPr>
      <w:r>
        <w:rPr>
          <w:lang w:val="en-GB" w:eastAsia="ja-JP"/>
        </w:rPr>
        <w:t>For an illustration of the pattern</w:t>
      </w:r>
      <w:r w:rsidR="006929A4">
        <w:rPr>
          <w:lang w:val="en-GB" w:eastAsia="ja-JP"/>
        </w:rPr>
        <w:t>,</w:t>
      </w:r>
      <w:r w:rsidR="00B76097">
        <w:rPr>
          <w:lang w:val="en-GB" w:eastAsia="ja-JP"/>
        </w:rPr>
        <w:t xml:space="preserve"> </w:t>
      </w:r>
      <w:r w:rsidR="009D6983">
        <w:rPr>
          <w:lang w:val="en-GB" w:eastAsia="ja-JP"/>
        </w:rPr>
        <w:t>see</w:t>
      </w:r>
      <w:r w:rsidR="00D67762">
        <w:rPr>
          <w:lang w:val="en-GB" w:eastAsia="ja-JP"/>
        </w:rPr>
        <w:t xml:space="preserve"> </w:t>
      </w:r>
      <w:r w:rsidR="00D67762">
        <w:rPr>
          <w:lang w:val="en-GB" w:eastAsia="ja-JP"/>
        </w:rPr>
        <w:fldChar w:fldCharType="begin"/>
      </w:r>
      <w:r w:rsidR="00D67762">
        <w:rPr>
          <w:lang w:val="en-GB" w:eastAsia="ja-JP"/>
        </w:rPr>
        <w:instrText xml:space="preserve"> REF _Ref60992867 \h </w:instrText>
      </w:r>
      <w:r w:rsidR="000A5ED3">
        <w:rPr>
          <w:lang w:val="en-GB" w:eastAsia="ja-JP"/>
        </w:rPr>
        <w:instrText xml:space="preserve"> \* MERGEFORMAT </w:instrText>
      </w:r>
      <w:r w:rsidR="00D67762">
        <w:rPr>
          <w:lang w:val="en-GB" w:eastAsia="ja-JP"/>
        </w:rPr>
      </w:r>
      <w:r w:rsidR="00D67762">
        <w:rPr>
          <w:lang w:val="en-GB" w:eastAsia="ja-JP"/>
        </w:rPr>
        <w:fldChar w:fldCharType="separate"/>
      </w:r>
      <w:r w:rsidR="0033625F">
        <w:t xml:space="preserve">Figure </w:t>
      </w:r>
      <w:r w:rsidR="0033625F">
        <w:rPr>
          <w:noProof/>
        </w:rPr>
        <w:t>5</w:t>
      </w:r>
      <w:r w:rsidR="00D67762">
        <w:rPr>
          <w:lang w:val="en-GB" w:eastAsia="ja-JP"/>
        </w:rPr>
        <w:fldChar w:fldCharType="end"/>
      </w:r>
      <w:r w:rsidR="006929A4">
        <w:rPr>
          <w:lang w:val="en-GB" w:eastAsia="ja-JP"/>
        </w:rPr>
        <w:t xml:space="preserve">. </w:t>
      </w:r>
      <w:r w:rsidR="009B6D9A">
        <w:rPr>
          <w:lang w:val="en-GB" w:eastAsia="ja-JP"/>
        </w:rPr>
        <w:t>As stated above, we expect that beam switching can be performed in the CP also for 960 kHz SCS, hence there is no need to introduce symbol level gaps between SS</w:t>
      </w:r>
      <w:r w:rsidR="007F7DDB">
        <w:rPr>
          <w:lang w:val="en-GB" w:eastAsia="ja-JP"/>
        </w:rPr>
        <w:t>/PBCH blocks</w:t>
      </w:r>
      <w:r w:rsidR="009B6D9A">
        <w:rPr>
          <w:lang w:val="en-GB" w:eastAsia="ja-JP"/>
        </w:rPr>
        <w:t>. The gaps between pairs of SS</w:t>
      </w:r>
      <w:r w:rsidR="007F7DDB">
        <w:rPr>
          <w:lang w:val="en-GB" w:eastAsia="ja-JP"/>
        </w:rPr>
        <w:t>/PBCH blocks</w:t>
      </w:r>
      <w:r w:rsidR="009B6D9A">
        <w:rPr>
          <w:lang w:val="en-GB" w:eastAsia="ja-JP"/>
        </w:rPr>
        <w:t xml:space="preserve"> might be difficult to use for UL transmissions, if RX-TX transition times are not reduced. However, the symbols can be used for short DL transmissions and we propose to</w:t>
      </w:r>
      <w:r w:rsidR="007F7DDB">
        <w:rPr>
          <w:lang w:val="en-GB" w:eastAsia="ja-JP"/>
        </w:rPr>
        <w:t xml:space="preserve"> use the </w:t>
      </w:r>
      <w:r>
        <w:rPr>
          <w:lang w:val="en-GB" w:eastAsia="ja-JP"/>
        </w:rPr>
        <w:t>Case D</w:t>
      </w:r>
      <w:r w:rsidR="009B6D9A">
        <w:rPr>
          <w:lang w:val="en-GB" w:eastAsia="ja-JP"/>
        </w:rPr>
        <w:t xml:space="preserve"> pattern </w:t>
      </w:r>
      <w:r w:rsidR="007F7DDB">
        <w:rPr>
          <w:lang w:val="en-GB" w:eastAsia="ja-JP"/>
        </w:rPr>
        <w:t xml:space="preserve">as is for operation also with 480 and 960 kHz SCS. Using the simple approach, we also propose to keep the longer gaps between SS/PBCH blocks as defined in the Case D pattern for FR2, even if the motivation for them is reduced considering the short slot time for the larger subcarrier spacings. </w:t>
      </w:r>
    </w:p>
    <w:p w14:paraId="5D29C341" w14:textId="131BC751" w:rsidR="009D6983" w:rsidRDefault="009D6983" w:rsidP="00512993">
      <w:pPr>
        <w:rPr>
          <w:lang w:val="en-GB" w:eastAsia="ja-JP"/>
        </w:rPr>
      </w:pPr>
      <w:r w:rsidRPr="009D6983">
        <w:rPr>
          <w:noProof/>
        </w:rPr>
        <w:drawing>
          <wp:inline distT="0" distB="0" distL="0" distR="0" wp14:anchorId="3EE9AA7F" wp14:editId="40C76CEB">
            <wp:extent cx="6120765" cy="1092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09220"/>
                    </a:xfrm>
                    <a:prstGeom prst="rect">
                      <a:avLst/>
                    </a:prstGeom>
                    <a:noFill/>
                    <a:ln>
                      <a:noFill/>
                    </a:ln>
                  </pic:spPr>
                </pic:pic>
              </a:graphicData>
            </a:graphic>
          </wp:inline>
        </w:drawing>
      </w:r>
    </w:p>
    <w:p w14:paraId="4C7936BC" w14:textId="3D2118DB" w:rsidR="00406CB7" w:rsidRPr="00DC4504" w:rsidRDefault="00D67762" w:rsidP="00FA61B8">
      <w:pPr>
        <w:pStyle w:val="Caption"/>
      </w:pPr>
      <w:bookmarkStart w:id="16" w:name="_Ref60992867"/>
      <w:r>
        <w:t xml:space="preserve">Figure </w:t>
      </w:r>
      <w:r>
        <w:fldChar w:fldCharType="begin"/>
      </w:r>
      <w:r>
        <w:instrText xml:space="preserve"> SEQ Figure \* ARABIC </w:instrText>
      </w:r>
      <w:r>
        <w:fldChar w:fldCharType="separate"/>
      </w:r>
      <w:r w:rsidR="001157D5">
        <w:rPr>
          <w:noProof/>
        </w:rPr>
        <w:t>5</w:t>
      </w:r>
      <w:r>
        <w:fldChar w:fldCharType="end"/>
      </w:r>
      <w:bookmarkEnd w:id="16"/>
      <w:r w:rsidR="00406CB7">
        <w:t xml:space="preserve">: </w:t>
      </w:r>
      <w:r>
        <w:t>Example SSB time domain pattern for 480 and 960 kHz SCS. Pattern based on Case D pattern.</w:t>
      </w:r>
    </w:p>
    <w:p w14:paraId="74AFD1E2" w14:textId="00869CFE" w:rsidR="00522644" w:rsidRDefault="00522644" w:rsidP="00512993">
      <w:pPr>
        <w:rPr>
          <w:lang w:val="en-GB" w:eastAsia="ja-JP"/>
        </w:rPr>
      </w:pPr>
      <w:r>
        <w:rPr>
          <w:lang w:val="en-GB" w:eastAsia="ja-JP"/>
        </w:rPr>
        <w:t>To summarize, the following is proposed:</w:t>
      </w:r>
    </w:p>
    <w:p w14:paraId="4E3742A0" w14:textId="043E88D1" w:rsidR="00B563F2" w:rsidRDefault="007F7DDB" w:rsidP="00DB6B30">
      <w:pPr>
        <w:pStyle w:val="Proposal"/>
        <w:rPr>
          <w:lang w:val="en-GB"/>
        </w:rPr>
      </w:pPr>
      <w:bookmarkStart w:id="17" w:name="_Toc68549382"/>
      <w:r>
        <w:rPr>
          <w:lang w:val="en-GB"/>
        </w:rPr>
        <w:t xml:space="preserve">Use the FR2 Case D pattern for time domain pattern for SSB </w:t>
      </w:r>
      <w:r w:rsidR="00CB3EA7">
        <w:rPr>
          <w:lang w:val="en-GB"/>
        </w:rPr>
        <w:t>transmissions with 480 kHz and 960 kHz SCS.</w:t>
      </w:r>
      <w:bookmarkEnd w:id="17"/>
      <w:r w:rsidR="00CB3EA7" w:rsidDel="00CB3EA7">
        <w:rPr>
          <w:lang w:val="en-GB"/>
        </w:rPr>
        <w:t xml:space="preserve"> </w:t>
      </w:r>
    </w:p>
    <w:p w14:paraId="17A71F4F" w14:textId="102247D2" w:rsidR="0063142C" w:rsidRDefault="0063142C" w:rsidP="0063142C">
      <w:pPr>
        <w:pStyle w:val="Heading3"/>
      </w:pPr>
      <w:r>
        <w:t>2.1.</w:t>
      </w:r>
      <w:r w:rsidR="00D35DFF">
        <w:t>5</w:t>
      </w:r>
      <w:r>
        <w:tab/>
      </w:r>
      <w:r w:rsidR="00161756">
        <w:t>Discovery Burst</w:t>
      </w:r>
    </w:p>
    <w:p w14:paraId="104B8427" w14:textId="2F1EE532" w:rsidR="00BF74CE" w:rsidRDefault="00BF74CE" w:rsidP="00BD3F19">
      <w:pPr>
        <w:pStyle w:val="BodyText"/>
      </w:pPr>
      <w:r>
        <w:t>I</w:t>
      </w:r>
      <w:r w:rsidR="00B14947">
        <w:t>n</w:t>
      </w:r>
      <w:r>
        <w:t xml:space="preserve"> RAN1#104-e the following agreement was made</w:t>
      </w:r>
    </w:p>
    <w:tbl>
      <w:tblPr>
        <w:tblStyle w:val="TableGrid"/>
        <w:tblW w:w="0" w:type="auto"/>
        <w:tblLook w:val="04A0" w:firstRow="1" w:lastRow="0" w:firstColumn="1" w:lastColumn="0" w:noHBand="0" w:noVBand="1"/>
      </w:tblPr>
      <w:tblGrid>
        <w:gridCol w:w="9629"/>
      </w:tblGrid>
      <w:tr w:rsidR="00BF74CE" w14:paraId="7003E931" w14:textId="77777777" w:rsidTr="0062389D">
        <w:trPr>
          <w:trHeight w:val="5120"/>
        </w:trPr>
        <w:tc>
          <w:tcPr>
            <w:tcW w:w="9629" w:type="dxa"/>
          </w:tcPr>
          <w:p w14:paraId="611602B3" w14:textId="77777777" w:rsidR="00BF74CE" w:rsidRPr="00106B7E" w:rsidRDefault="00BF74CE" w:rsidP="00BF74CE">
            <w:pPr>
              <w:pStyle w:val="BodyText"/>
              <w:spacing w:after="0"/>
              <w:rPr>
                <w:rFonts w:ascii="Times New Roman" w:hAnsi="Times New Roman"/>
                <w:sz w:val="20"/>
                <w:szCs w:val="20"/>
                <w:highlight w:val="green"/>
              </w:rPr>
            </w:pPr>
            <w:r w:rsidRPr="00106B7E">
              <w:rPr>
                <w:rFonts w:ascii="Times New Roman" w:hAnsi="Times New Roman"/>
                <w:sz w:val="20"/>
                <w:szCs w:val="20"/>
                <w:highlight w:val="green"/>
              </w:rPr>
              <w:t>Agreement:</w:t>
            </w:r>
          </w:p>
          <w:p w14:paraId="24726E36" w14:textId="77777777" w:rsidR="00BF74CE" w:rsidRPr="00106B7E" w:rsidRDefault="00BF74CE" w:rsidP="00BF74CE">
            <w:pPr>
              <w:pStyle w:val="BodyText"/>
              <w:numPr>
                <w:ilvl w:val="0"/>
                <w:numId w:val="34"/>
              </w:numPr>
              <w:spacing w:after="0"/>
              <w:rPr>
                <w:rFonts w:ascii="Times New Roman" w:hAnsi="Times New Roman"/>
                <w:sz w:val="20"/>
                <w:szCs w:val="20"/>
              </w:rPr>
            </w:pPr>
            <w:r w:rsidRPr="00106B7E">
              <w:rPr>
                <w:rFonts w:ascii="Times New Roman" w:hAnsi="Times New Roman"/>
                <w:sz w:val="20"/>
                <w:szCs w:val="20"/>
              </w:rPr>
              <w:t>For an unlicensed band that requires LBT, further study whether/how to support discovery burst (DB) and discovery burst transmission window (DBTW) at least for 120 kHz SSB SCS</w:t>
            </w:r>
          </w:p>
          <w:p w14:paraId="54FAD7A5" w14:textId="77777777" w:rsidR="00BF74CE" w:rsidRPr="00106B7E" w:rsidRDefault="00BF74CE" w:rsidP="00BF74CE">
            <w:pPr>
              <w:pStyle w:val="BodyText"/>
              <w:numPr>
                <w:ilvl w:val="1"/>
                <w:numId w:val="34"/>
              </w:numPr>
              <w:spacing w:after="0"/>
              <w:rPr>
                <w:rFonts w:ascii="Times New Roman" w:hAnsi="Times New Roman"/>
                <w:sz w:val="20"/>
                <w:szCs w:val="20"/>
              </w:rPr>
            </w:pPr>
            <w:r w:rsidRPr="00106B7E">
              <w:rPr>
                <w:rFonts w:ascii="Times New Roman" w:hAnsi="Times New Roman"/>
                <w:sz w:val="20"/>
                <w:szCs w:val="20"/>
              </w:rPr>
              <w:t xml:space="preserve">If DB supported </w:t>
            </w:r>
          </w:p>
          <w:p w14:paraId="362FC077" w14:textId="7891A442"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FFS: What signals/channels are included in DB other than SS/PBCH block</w:t>
            </w:r>
          </w:p>
          <w:p w14:paraId="60F761CE" w14:textId="77777777" w:rsidR="00BF74CE" w:rsidRPr="00106B7E" w:rsidRDefault="00BF74CE" w:rsidP="00BF74CE">
            <w:pPr>
              <w:pStyle w:val="BodyText"/>
              <w:numPr>
                <w:ilvl w:val="1"/>
                <w:numId w:val="34"/>
              </w:numPr>
              <w:spacing w:after="0"/>
              <w:rPr>
                <w:rFonts w:ascii="Times New Roman" w:hAnsi="Times New Roman"/>
                <w:sz w:val="20"/>
                <w:szCs w:val="20"/>
              </w:rPr>
            </w:pPr>
            <w:r w:rsidRPr="00106B7E">
              <w:rPr>
                <w:rFonts w:ascii="Times New Roman" w:hAnsi="Times New Roman"/>
                <w:sz w:val="20"/>
                <w:szCs w:val="20"/>
              </w:rPr>
              <w:t>If DBTW is supported</w:t>
            </w:r>
          </w:p>
          <w:p w14:paraId="0D700E1B"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Support mechanism to indicate or inform that DBTW is enabled/disabled for both IDLE and CONNECTED mode UEs</w:t>
            </w:r>
          </w:p>
          <w:p w14:paraId="1ED9D55D" w14:textId="77777777" w:rsidR="00BF74CE" w:rsidRPr="00106B7E" w:rsidRDefault="00BF74CE" w:rsidP="00BF74CE">
            <w:pPr>
              <w:pStyle w:val="BodyText"/>
              <w:numPr>
                <w:ilvl w:val="3"/>
                <w:numId w:val="34"/>
              </w:numPr>
              <w:spacing w:after="0"/>
              <w:rPr>
                <w:rFonts w:ascii="Times New Roman" w:hAnsi="Times New Roman"/>
                <w:sz w:val="20"/>
                <w:szCs w:val="20"/>
              </w:rPr>
            </w:pPr>
            <w:r w:rsidRPr="00106B7E">
              <w:rPr>
                <w:rFonts w:ascii="Times New Roman" w:hAnsi="Times New Roman"/>
                <w:sz w:val="20"/>
                <w:szCs w:val="20"/>
              </w:rPr>
              <w:t>FFS: how to support UEs performing initial access that do not have any prior information on DBTW.</w:t>
            </w:r>
          </w:p>
          <w:p w14:paraId="25DB0310"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PBCH payload size is no greater than that for FR2</w:t>
            </w:r>
          </w:p>
          <w:p w14:paraId="5E115214"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 xml:space="preserve">Duration of DBTW is no greater than 5 </w:t>
            </w:r>
            <w:proofErr w:type="spellStart"/>
            <w:r w:rsidRPr="00106B7E">
              <w:rPr>
                <w:rFonts w:ascii="Times New Roman" w:hAnsi="Times New Roman"/>
                <w:sz w:val="20"/>
                <w:szCs w:val="20"/>
              </w:rPr>
              <w:t>ms</w:t>
            </w:r>
            <w:proofErr w:type="spellEnd"/>
          </w:p>
          <w:p w14:paraId="5986BE3A"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Number of PBCH DMRS sequences is the same as for FR2</w:t>
            </w:r>
          </w:p>
          <w:p w14:paraId="213CA5AB" w14:textId="77777777" w:rsidR="00BF74CE" w:rsidRPr="00106B7E" w:rsidRDefault="00BF74CE" w:rsidP="00BF74CE">
            <w:pPr>
              <w:pStyle w:val="BodyText"/>
              <w:numPr>
                <w:ilvl w:val="1"/>
                <w:numId w:val="34"/>
              </w:numPr>
              <w:spacing w:after="0"/>
              <w:rPr>
                <w:rFonts w:ascii="Times New Roman" w:hAnsi="Times New Roman"/>
                <w:sz w:val="20"/>
                <w:szCs w:val="20"/>
              </w:rPr>
            </w:pPr>
            <w:r w:rsidRPr="00106B7E">
              <w:rPr>
                <w:rFonts w:ascii="Times New Roman" w:hAnsi="Times New Roman"/>
                <w:sz w:val="20"/>
                <w:szCs w:val="20"/>
              </w:rPr>
              <w:t>The following points are additionally FFS:</w:t>
            </w:r>
          </w:p>
          <w:p w14:paraId="2EAC487F"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How to indicate candidate SSB indices and QCL relation without exceeding limit on PBCH payload size</w:t>
            </w:r>
          </w:p>
          <w:p w14:paraId="2265EC88"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Details of the mechanism for enabling/disabling DBTW considering LBT exempt operation and overlapping licensed/unlicensed bands</w:t>
            </w:r>
          </w:p>
          <w:p w14:paraId="3B2FE051" w14:textId="77777777" w:rsidR="00BF74CE" w:rsidRPr="00106B7E" w:rsidRDefault="00BF74CE" w:rsidP="00BF74CE">
            <w:pPr>
              <w:pStyle w:val="BodyText"/>
              <w:numPr>
                <w:ilvl w:val="2"/>
                <w:numId w:val="34"/>
              </w:numPr>
              <w:spacing w:after="0"/>
              <w:rPr>
                <w:rFonts w:ascii="Times New Roman" w:hAnsi="Times New Roman"/>
                <w:sz w:val="20"/>
                <w:szCs w:val="20"/>
              </w:rPr>
            </w:pPr>
            <w:r w:rsidRPr="00106B7E">
              <w:rPr>
                <w:rFonts w:ascii="Times New Roman" w:hAnsi="Times New Roman"/>
                <w:sz w:val="20"/>
                <w:szCs w:val="20"/>
              </w:rPr>
              <w:t>Whether or not to support DBTW for SSB SCS(s) other than 120 kHz if other SSB SCS(s) are supported</w:t>
            </w:r>
          </w:p>
          <w:p w14:paraId="01FD5DCB" w14:textId="77777777" w:rsidR="00BF74CE" w:rsidRDefault="00BF74CE" w:rsidP="00BD3F19">
            <w:pPr>
              <w:pStyle w:val="BodyText"/>
            </w:pPr>
          </w:p>
        </w:tc>
      </w:tr>
    </w:tbl>
    <w:p w14:paraId="24947E4B" w14:textId="77777777" w:rsidR="00BF74CE" w:rsidRDefault="00BF74CE" w:rsidP="00BD3F19">
      <w:pPr>
        <w:pStyle w:val="BodyText"/>
      </w:pPr>
    </w:p>
    <w:p w14:paraId="6A11B3B4" w14:textId="13063910" w:rsidR="00825A75" w:rsidRDefault="00161756">
      <w:pPr>
        <w:pStyle w:val="BodyText"/>
        <w:rPr>
          <w:rFonts w:eastAsia="Times New Roman" w:cs="Times New Roman"/>
          <w:szCs w:val="20"/>
        </w:rPr>
      </w:pPr>
      <w:r>
        <w:t>In Rel-16</w:t>
      </w:r>
      <w:r w:rsidR="00106B7E">
        <w:t>,</w:t>
      </w:r>
      <w:r>
        <w:t xml:space="preserve"> a discovery burst </w:t>
      </w:r>
      <w:r w:rsidR="00833C62">
        <w:t xml:space="preserve">(DB) </w:t>
      </w:r>
      <w:r>
        <w:t>was defined to be able to define special LBT rules (25us on</w:t>
      </w:r>
      <w:r w:rsidR="00C1201F">
        <w:t>e</w:t>
      </w:r>
      <w:r>
        <w:t>-shot LBT) for SS/PBCH blocks, SIB1 and CSI-RS compared to other DL transmissions.</w:t>
      </w:r>
      <w:r w:rsidR="00FC199F">
        <w:t xml:space="preserve"> </w:t>
      </w:r>
    </w:p>
    <w:p w14:paraId="4D6EF0F2" w14:textId="7BF9A2DF" w:rsidR="00833C62" w:rsidRDefault="00FC199F" w:rsidP="00FC199F">
      <w:pPr>
        <w:pStyle w:val="BodyText"/>
      </w:pPr>
      <w:bookmarkStart w:id="18" w:name="_Hlk52951538"/>
      <w:r>
        <w:t>R</w:t>
      </w:r>
      <w:r w:rsidR="00BD3F19">
        <w:t xml:space="preserve">ecent updates to draft </w:t>
      </w:r>
      <w:r w:rsidR="00BD3F19" w:rsidRPr="00EB27C8">
        <w:t>EN 302 567 v2.2.0</w:t>
      </w:r>
      <w:r w:rsidR="00BD3F19">
        <w:t xml:space="preserve"> </w:t>
      </w:r>
      <w:r w:rsidR="00825A75">
        <w:t>for 60 GHz</w:t>
      </w:r>
      <w:r w:rsidR="00BD3F19">
        <w:t xml:space="preserve"> include a clause for Short Control Signaling</w:t>
      </w:r>
      <w:r>
        <w:t>, that allows a node to access the channel without LBT for co</w:t>
      </w:r>
      <w:r w:rsidR="00A608E7">
        <w:t xml:space="preserve">ntrol signals/channels, the total duration of which shall not exceed 10ms within an observation period of 100ms. </w:t>
      </w:r>
      <w:r w:rsidR="00833C62">
        <w:t xml:space="preserve">One obvious candidate to be classified as short control signaling is the SS/PBCH block. In case a small SIB1 (e.g. for ANR purposes) is FDM with the SS/PBCH block it makes sense that that transmission is also classified as short control signaling. The Rel-16 DB also includes CSI-RS, which e.g. can be used for tracking and thus </w:t>
      </w:r>
      <w:r w:rsidR="003E454C">
        <w:t>c</w:t>
      </w:r>
      <w:r w:rsidR="00833C62">
        <w:t xml:space="preserve">ould </w:t>
      </w:r>
      <w:r w:rsidR="003E454C">
        <w:t xml:space="preserve">also </w:t>
      </w:r>
      <w:r w:rsidR="00833C62">
        <w:t xml:space="preserve">benefit from </w:t>
      </w:r>
      <w:r w:rsidR="003E454C">
        <w:t>being classified as short control signaling.</w:t>
      </w:r>
    </w:p>
    <w:p w14:paraId="15E21C15" w14:textId="5D01683F" w:rsidR="00FC199F" w:rsidRDefault="00833C62" w:rsidP="00FC199F">
      <w:pPr>
        <w:pStyle w:val="BodyText"/>
      </w:pPr>
      <w:r>
        <w:t>Thus, t</w:t>
      </w:r>
      <w:r w:rsidR="00A608E7">
        <w:t xml:space="preserve">o make efficient use of </w:t>
      </w:r>
      <w:r w:rsidR="003E454C">
        <w:t>the short control signaling rule</w:t>
      </w:r>
      <w:r w:rsidR="00A608E7">
        <w:t xml:space="preserve">, it is beneficial to </w:t>
      </w:r>
      <w:r w:rsidR="003E454C">
        <w:t xml:space="preserve">reuse the Rel-16 definition of </w:t>
      </w:r>
      <w:r w:rsidR="00A608E7">
        <w:t xml:space="preserve">a discovery burst also for this frequency range. </w:t>
      </w:r>
    </w:p>
    <w:p w14:paraId="4F1981FE" w14:textId="524EA76B" w:rsidR="00FC199F" w:rsidRDefault="003E454C" w:rsidP="00FC199F">
      <w:pPr>
        <w:pStyle w:val="Proposal"/>
      </w:pPr>
      <w:bookmarkStart w:id="19" w:name="_Toc68549383"/>
      <w:r>
        <w:t xml:space="preserve">Reuse the definition of the Rel-16 </w:t>
      </w:r>
      <w:r w:rsidR="008766C5">
        <w:t>discovery burst (DB)</w:t>
      </w:r>
      <w:r>
        <w:t xml:space="preserve"> also for the 52.6-71 GHz frequency range.</w:t>
      </w:r>
      <w:bookmarkEnd w:id="19"/>
    </w:p>
    <w:p w14:paraId="6AFF3A18" w14:textId="1A091726" w:rsidR="00BD3F19" w:rsidRDefault="00B41FDF" w:rsidP="00737888">
      <w:pPr>
        <w:pStyle w:val="BodyText"/>
      </w:pPr>
      <w:r>
        <w:t xml:space="preserve">As discussed above, we think it is beneficial to allow the DB to be classified as short control signaling. In addition, PRACH related messages would also benefit from this. </w:t>
      </w:r>
      <w:proofErr w:type="gramStart"/>
      <w:r>
        <w:t>Thus</w:t>
      </w:r>
      <w:proofErr w:type="gramEnd"/>
      <w:r w:rsidR="00C101B9">
        <w:t xml:space="preserve"> we make the following proposal</w:t>
      </w:r>
      <w:r w:rsidR="00BD3F19">
        <w:t xml:space="preserve"> </w:t>
      </w:r>
      <w:r w:rsidR="00C101B9">
        <w:t>(</w:t>
      </w:r>
      <w:r w:rsidR="00BD3F19">
        <w:t xml:space="preserve">as </w:t>
      </w:r>
      <w:r w:rsidR="00992946">
        <w:t xml:space="preserve">discussed in </w:t>
      </w:r>
      <w:r w:rsidR="00992946">
        <w:fldChar w:fldCharType="begin"/>
      </w:r>
      <w:r w:rsidR="00992946">
        <w:instrText xml:space="preserve"> REF _Ref52864098 \r \h </w:instrText>
      </w:r>
      <w:r w:rsidR="00992946">
        <w:fldChar w:fldCharType="separate"/>
      </w:r>
      <w:r w:rsidR="00992946">
        <w:t>[5]</w:t>
      </w:r>
      <w:r w:rsidR="00992946">
        <w:fldChar w:fldCharType="end"/>
      </w:r>
      <w:r w:rsidR="00992946">
        <w:t xml:space="preserve"> </w:t>
      </w:r>
      <w:r w:rsidR="00C101B9">
        <w:t xml:space="preserve">and </w:t>
      </w:r>
      <w:r w:rsidR="00992946">
        <w:t>repeated here for convenience):</w:t>
      </w:r>
    </w:p>
    <w:p w14:paraId="1627187D" w14:textId="77777777" w:rsidR="00992946" w:rsidRPr="00EB27C8" w:rsidRDefault="00992946" w:rsidP="00992946">
      <w:pPr>
        <w:pStyle w:val="Proposal"/>
        <w:tabs>
          <w:tab w:val="num" w:pos="1304"/>
        </w:tabs>
        <w:ind w:left="1304" w:hanging="1304"/>
        <w:jc w:val="left"/>
      </w:pPr>
      <w:bookmarkStart w:id="20" w:name="_Toc53738664"/>
      <w:bookmarkStart w:id="21" w:name="_Toc61356635"/>
      <w:bookmarkStart w:id="22" w:name="_Ref61765508"/>
      <w:bookmarkStart w:id="23" w:name="_Toc68549384"/>
      <w:bookmarkStart w:id="24" w:name="_Ref68609309"/>
      <w:r w:rsidRPr="00EB27C8">
        <w:t>Consistent with EN 302 567, when operating in LBT mode a node can access the channel without LBT for control signal/channel transmission</w:t>
      </w:r>
      <w:bookmarkEnd w:id="20"/>
      <w:r w:rsidRPr="00EB27C8">
        <w:t>s, the total duration of which shall not exceed 10ms within an observation period of 100ms</w:t>
      </w:r>
      <w:r>
        <w:t xml:space="preserve">. The following signals/channels </w:t>
      </w:r>
      <w:r w:rsidRPr="00EB27C8">
        <w:t>shall be classified as Short control signaling transmissions</w:t>
      </w:r>
      <w:r>
        <w:t>:</w:t>
      </w:r>
      <w:bookmarkEnd w:id="21"/>
      <w:bookmarkEnd w:id="22"/>
      <w:bookmarkEnd w:id="23"/>
      <w:bookmarkEnd w:id="24"/>
    </w:p>
    <w:p w14:paraId="74E33DA9" w14:textId="69C9D39C" w:rsidR="00992946" w:rsidRPr="00EB27C8" w:rsidRDefault="003E454C" w:rsidP="00992946">
      <w:pPr>
        <w:pStyle w:val="Proposal"/>
        <w:numPr>
          <w:ilvl w:val="1"/>
          <w:numId w:val="3"/>
        </w:numPr>
        <w:tabs>
          <w:tab w:val="clear" w:pos="1440"/>
        </w:tabs>
        <w:overflowPunct w:val="0"/>
        <w:autoSpaceDE w:val="0"/>
        <w:autoSpaceDN w:val="0"/>
        <w:adjustRightInd w:val="0"/>
        <w:spacing w:line="240" w:lineRule="auto"/>
        <w:textAlignment w:val="baseline"/>
      </w:pPr>
      <w:bookmarkStart w:id="25" w:name="_Toc61356636"/>
      <w:bookmarkStart w:id="26" w:name="_Toc68549385"/>
      <w:r w:rsidRPr="003E454C">
        <w:t>D</w:t>
      </w:r>
      <w:r w:rsidRPr="00737888">
        <w:t>iscovery burst (as defined in Re</w:t>
      </w:r>
      <w:r>
        <w:t>l-16)</w:t>
      </w:r>
      <w:bookmarkEnd w:id="25"/>
      <w:bookmarkEnd w:id="26"/>
    </w:p>
    <w:p w14:paraId="4CC17CD2" w14:textId="549DAF6A" w:rsidR="00992946" w:rsidRPr="00EB27C8" w:rsidRDefault="00F53FDA" w:rsidP="00992946">
      <w:pPr>
        <w:pStyle w:val="Proposal"/>
        <w:numPr>
          <w:ilvl w:val="1"/>
          <w:numId w:val="3"/>
        </w:numPr>
        <w:tabs>
          <w:tab w:val="clear" w:pos="1440"/>
        </w:tabs>
        <w:overflowPunct w:val="0"/>
        <w:autoSpaceDE w:val="0"/>
        <w:autoSpaceDN w:val="0"/>
        <w:adjustRightInd w:val="0"/>
        <w:spacing w:line="240" w:lineRule="auto"/>
        <w:textAlignment w:val="baseline"/>
      </w:pPr>
      <w:bookmarkStart w:id="27" w:name="_Toc61356637"/>
      <w:bookmarkStart w:id="28" w:name="_Toc68549386"/>
      <w:r>
        <w:rPr>
          <w:lang w:eastAsia="en-US"/>
        </w:rPr>
        <w:t xml:space="preserve">msg1 </w:t>
      </w:r>
      <w:r w:rsidRPr="005F5D9D">
        <w:rPr>
          <w:lang w:eastAsia="en-US"/>
        </w:rPr>
        <w:t>and</w:t>
      </w:r>
      <w:r>
        <w:rPr>
          <w:color w:val="FF0000"/>
          <w:lang w:eastAsia="en-US"/>
        </w:rPr>
        <w:t xml:space="preserve"> </w:t>
      </w:r>
      <w:r>
        <w:rPr>
          <w:lang w:eastAsia="en-US"/>
        </w:rPr>
        <w:t xml:space="preserve">msg3 for the 4 step RACH and </w:t>
      </w:r>
      <w:proofErr w:type="spellStart"/>
      <w:r>
        <w:rPr>
          <w:lang w:eastAsia="en-US"/>
        </w:rPr>
        <w:t>MsgA</w:t>
      </w:r>
      <w:proofErr w:type="spellEnd"/>
      <w:r>
        <w:rPr>
          <w:lang w:eastAsia="en-US"/>
        </w:rPr>
        <w:t xml:space="preserve"> for the 2-step </w:t>
      </w:r>
      <w:bookmarkEnd w:id="27"/>
      <w:r>
        <w:rPr>
          <w:lang w:eastAsia="en-US"/>
        </w:rPr>
        <w:t>RACH</w:t>
      </w:r>
      <w:bookmarkEnd w:id="28"/>
      <w:r w:rsidR="00992946">
        <w:t xml:space="preserve"> </w:t>
      </w:r>
    </w:p>
    <w:p w14:paraId="35DE6B04" w14:textId="77777777" w:rsidR="00992946" w:rsidRPr="00EB27C8" w:rsidRDefault="00992946" w:rsidP="00992946">
      <w:pPr>
        <w:pStyle w:val="Proposal"/>
        <w:numPr>
          <w:ilvl w:val="1"/>
          <w:numId w:val="3"/>
        </w:numPr>
        <w:tabs>
          <w:tab w:val="clear" w:pos="1440"/>
        </w:tabs>
        <w:jc w:val="left"/>
      </w:pPr>
      <w:bookmarkStart w:id="29" w:name="_Toc61356638"/>
      <w:bookmarkStart w:id="30" w:name="_Toc68549387"/>
      <w:r>
        <w:t>FFS: Other</w:t>
      </w:r>
      <w:r w:rsidRPr="00EB27C8">
        <w:t xml:space="preserve"> control transmissions not multiplexed with user data </w:t>
      </w:r>
      <w:r>
        <w:t xml:space="preserve">(subject to </w:t>
      </w:r>
      <w:proofErr w:type="spellStart"/>
      <w:r>
        <w:t>gNB</w:t>
      </w:r>
      <w:proofErr w:type="spellEnd"/>
      <w:r>
        <w:t xml:space="preserve"> configuration)</w:t>
      </w:r>
      <w:bookmarkEnd w:id="29"/>
      <w:bookmarkEnd w:id="30"/>
    </w:p>
    <w:p w14:paraId="271C1EBD" w14:textId="2176AF9C" w:rsidR="00FC199F" w:rsidRDefault="00FC199F" w:rsidP="00BD3F19"/>
    <w:p w14:paraId="37547F75" w14:textId="77777777" w:rsidR="00FC199F" w:rsidRDefault="00FC199F" w:rsidP="002E0B19">
      <w:pPr>
        <w:pStyle w:val="BodyText"/>
        <w:rPr>
          <w:rFonts w:eastAsia="Times New Roman" w:cs="Times New Roman"/>
          <w:szCs w:val="20"/>
        </w:rPr>
      </w:pPr>
      <w:r>
        <w:t>For NR-U in the 5/6 GHz band, allowing the SS/PBCH blocks to slide within the discovery burst transmission window due to LBT outcome is an optimization. At low-to-moderate loads – the preferred operating point of the system – and/or in controlled environments, a large fraction of the time, sliding is not needed. Furthermore, occasional dropping of an SS/PBCH block due to LBT failure is not disastrous to system performance.</w:t>
      </w:r>
    </w:p>
    <w:p w14:paraId="0064AAF2" w14:textId="59EF2ED3" w:rsidR="00FC199F" w:rsidRDefault="00FC199F" w:rsidP="002E0B19">
      <w:pPr>
        <w:jc w:val="both"/>
      </w:pPr>
      <w:r>
        <w:t xml:space="preserve">In the 52.6 – 71 GHz band, the need for sliding within a window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rsidR="002E0B19">
        <w:instrText xml:space="preserve"> \* MERGEFORMAT </w:instrText>
      </w:r>
      <w:r>
        <w:fldChar w:fldCharType="separate"/>
      </w:r>
      <w:r>
        <w:t>[6]</w:t>
      </w:r>
      <w:r>
        <w:fldChar w:fldCharType="end"/>
      </w:r>
      <w:r>
        <w:t>) show that the system performance without LBT is on par, or even better, than with LBT. This can be explained by the fact that the inherent use of narrow beams and the large path loss significantly reduces the probability of interference.</w:t>
      </w:r>
    </w:p>
    <w:p w14:paraId="2719A84B" w14:textId="11A777F2" w:rsidR="00BD3F19" w:rsidRDefault="00BD3F19" w:rsidP="002E0B19">
      <w:pPr>
        <w:jc w:val="both"/>
      </w:pPr>
      <w:r>
        <w:t>For these reasons, it is not necessary to optimize the SS/PBCH transmission/reception mechanism by introducing a transmission window.</w:t>
      </w:r>
      <w:bookmarkEnd w:id="18"/>
      <w:r w:rsidR="00992946">
        <w:t xml:space="preserve"> In addition, this allows a design that is common between licensed</w:t>
      </w:r>
      <w:r w:rsidR="00505082">
        <w:t xml:space="preserve"> and</w:t>
      </w:r>
      <w:r w:rsidR="00992946">
        <w:t xml:space="preserve"> unlicensed operation </w:t>
      </w:r>
      <w:r w:rsidR="00505082">
        <w:t xml:space="preserve">(both with and without LBT) </w:t>
      </w:r>
      <w:r w:rsidR="00992946">
        <w:t xml:space="preserve">which simplifies the UE procedures for initial access when </w:t>
      </w:r>
      <w:r w:rsidR="00505082">
        <w:t xml:space="preserve">it is unknown to the UE if the </w:t>
      </w:r>
      <w:proofErr w:type="spellStart"/>
      <w:r w:rsidR="00505082">
        <w:t>gNB</w:t>
      </w:r>
      <w:proofErr w:type="spellEnd"/>
      <w:r w:rsidR="00505082">
        <w:t xml:space="preserve"> operates with or without LBT.</w:t>
      </w:r>
    </w:p>
    <w:p w14:paraId="580DA518" w14:textId="1689DA23" w:rsidR="00245015" w:rsidRDefault="00245015" w:rsidP="00106B7E">
      <w:pPr>
        <w:pStyle w:val="Observation"/>
        <w:ind w:left="1620" w:hanging="1620"/>
      </w:pPr>
      <w:bookmarkStart w:id="31" w:name="_Toc68549373"/>
      <w:r>
        <w:t xml:space="preserve">It is not necessary to optimize the SS/PBCH transmission/reception mechanism by introducing a transmission window, especially since SS/PBCH blocks </w:t>
      </w:r>
      <w:r w:rsidR="00B14947">
        <w:t xml:space="preserve">most of the time </w:t>
      </w:r>
      <w:r>
        <w:t>can be classified as short control signaling transmissions consistent with EN 302 567.</w:t>
      </w:r>
      <w:bookmarkEnd w:id="31"/>
    </w:p>
    <w:p w14:paraId="3251F27C" w14:textId="58120E9F" w:rsidR="00DE2DFA" w:rsidRDefault="00FC7F1C" w:rsidP="002E0B19">
      <w:pPr>
        <w:jc w:val="both"/>
        <w:rPr>
          <w:rFonts w:cs="Arial"/>
        </w:rPr>
      </w:pPr>
      <w:r>
        <w:rPr>
          <w:lang w:eastAsia="ja-JP"/>
        </w:rPr>
        <w:t>Nevertheless, the DBTW topic received quite a lot of attention in the last meeting so we here make some observations regarding the QCL relation signaling</w:t>
      </w:r>
      <w:r w:rsidR="00853D18">
        <w:rPr>
          <w:lang w:eastAsia="ja-JP"/>
        </w:rPr>
        <w:t xml:space="preserve"> in MIB</w:t>
      </w:r>
      <w:r>
        <w:rPr>
          <w:lang w:eastAsia="ja-JP"/>
        </w:rPr>
        <w:t xml:space="preserve">. </w:t>
      </w:r>
      <w:r w:rsidR="00324D01">
        <w:rPr>
          <w:lang w:eastAsia="ja-JP"/>
        </w:rPr>
        <w:t xml:space="preserve">In Rel-16 a combination of one LSB bit from </w:t>
      </w:r>
      <w:proofErr w:type="spellStart"/>
      <w:r w:rsidR="00324D01">
        <w:rPr>
          <w:rFonts w:cs="Arial"/>
          <w:i/>
          <w:iCs/>
        </w:rPr>
        <w:t>ssb-SubcarrierOffset</w:t>
      </w:r>
      <w:proofErr w:type="spellEnd"/>
      <w:r w:rsidR="00324D01">
        <w:t xml:space="preserve"> and the field </w:t>
      </w:r>
      <w:proofErr w:type="spellStart"/>
      <w:r w:rsidR="00324D01">
        <w:rPr>
          <w:rFonts w:cs="Arial"/>
          <w:i/>
          <w:iCs/>
        </w:rPr>
        <w:t>subCarrierSpacingCommon</w:t>
      </w:r>
      <w:proofErr w:type="spellEnd"/>
      <w:r w:rsidR="00324D01">
        <w:t xml:space="preserve"> was used to indicate </w:t>
      </w:r>
      <m:oMath>
        <m:sSubSup>
          <m:sSubSupPr>
            <m:ctrlPr>
              <w:rPr>
                <w:rFonts w:ascii="Cambria Math" w:hAnsi="Cambria Math"/>
                <w:sz w:val="24"/>
                <w:szCs w:val="24"/>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34067F">
        <w:rPr>
          <w:rFonts w:eastAsiaTheme="minorEastAsia"/>
          <w:sz w:val="24"/>
          <w:szCs w:val="24"/>
        </w:rPr>
        <w:t xml:space="preserve">, </w:t>
      </w:r>
      <w:r w:rsidR="0034067F" w:rsidRPr="0034067F">
        <w:t>also referred to as the QCL parameter, Q.</w:t>
      </w:r>
      <w:r w:rsidR="00324D01">
        <w:rPr>
          <w:rFonts w:eastAsiaTheme="minorEastAsia"/>
          <w:sz w:val="24"/>
          <w:szCs w:val="24"/>
        </w:rPr>
        <w:t xml:space="preserve"> </w:t>
      </w:r>
      <w:r w:rsidR="00324D01">
        <w:t xml:space="preserve">This mapping relies on that the initial DL BWP SCS and the SS/PBCH SCS is the same and that one bit is </w:t>
      </w:r>
      <w:r w:rsidR="00C1201F">
        <w:t xml:space="preserve">then </w:t>
      </w:r>
      <w:r w:rsidR="00324D01">
        <w:t xml:space="preserve">available in </w:t>
      </w:r>
      <w:proofErr w:type="spellStart"/>
      <w:r w:rsidR="00324D01">
        <w:rPr>
          <w:rFonts w:cs="Arial"/>
          <w:i/>
          <w:iCs/>
        </w:rPr>
        <w:t>ssb-SubcarrierOffset</w:t>
      </w:r>
      <w:proofErr w:type="spellEnd"/>
      <w:r w:rsidR="0034067F">
        <w:rPr>
          <w:rFonts w:cs="Arial"/>
        </w:rPr>
        <w:t>.</w:t>
      </w:r>
      <w:r w:rsidR="00324D01">
        <w:rPr>
          <w:rFonts w:cs="Arial"/>
          <w:i/>
          <w:iCs/>
        </w:rPr>
        <w:t xml:space="preserve"> </w:t>
      </w:r>
      <w:r w:rsidR="00324D01">
        <w:rPr>
          <w:rFonts w:cs="Arial"/>
        </w:rPr>
        <w:t xml:space="preserve">The former depends on which SCS combinations that are supported for initial access which </w:t>
      </w:r>
      <w:r w:rsidR="00321680">
        <w:rPr>
          <w:rFonts w:cs="Arial"/>
        </w:rPr>
        <w:t>is</w:t>
      </w:r>
      <w:r w:rsidR="00324D01">
        <w:rPr>
          <w:rFonts w:cs="Arial"/>
        </w:rPr>
        <w:t xml:space="preserve"> unknown </w:t>
      </w:r>
      <w:proofErr w:type="gramStart"/>
      <w:r w:rsidR="00324D01">
        <w:rPr>
          <w:rFonts w:cs="Arial"/>
        </w:rPr>
        <w:t>at the moment</w:t>
      </w:r>
      <w:proofErr w:type="gramEnd"/>
      <w:r w:rsidR="00324D01">
        <w:rPr>
          <w:rFonts w:cs="Arial"/>
        </w:rPr>
        <w:t xml:space="preserve">. </w:t>
      </w:r>
      <w:r w:rsidR="00321680">
        <w:rPr>
          <w:rFonts w:cs="Arial"/>
        </w:rPr>
        <w:t>The</w:t>
      </w:r>
      <w:r w:rsidR="00324D01">
        <w:rPr>
          <w:rFonts w:cs="Arial"/>
        </w:rPr>
        <w:t xml:space="preserve"> latter </w:t>
      </w:r>
      <w:r w:rsidR="00321680">
        <w:rPr>
          <w:rFonts w:cs="Arial"/>
        </w:rPr>
        <w:t>deserves some further analysis.</w:t>
      </w:r>
    </w:p>
    <w:p w14:paraId="23DE1EAA" w14:textId="74495649" w:rsidR="00B255E1" w:rsidRDefault="00DE2DFA" w:rsidP="002E0B19">
      <w:pPr>
        <w:jc w:val="both"/>
      </w:pPr>
      <w:r>
        <w:rPr>
          <w:rFonts w:cs="Arial"/>
        </w:rPr>
        <w:t xml:space="preserve">In FR1 </w:t>
      </w:r>
      <w:r>
        <w:rPr>
          <w:rFonts w:ascii="Times New Roman" w:eastAsia="Times New Roman" w:hAnsi="Times New Roman" w:cs="Times New Roman"/>
          <w:position w:val="-10"/>
          <w:szCs w:val="20"/>
          <w:lang w:val="en-GB"/>
        </w:rPr>
        <w:object w:dxaOrig="1725" w:dyaOrig="300" w14:anchorId="5FB05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5pt" o:ole="">
            <v:imagedata r:id="rId22" o:title=""/>
          </v:shape>
          <o:OLEObject Type="Embed" ProgID="Equation.3" ShapeID="_x0000_i1025" DrawAspect="Content" ObjectID="_1679222184" r:id="rId23"/>
        </w:object>
      </w:r>
      <w:r>
        <w:t xml:space="preserve"> </w:t>
      </w:r>
      <w:r w:rsidR="0034067F">
        <w:t xml:space="preserve">which </w:t>
      </w:r>
      <w:r>
        <w:t xml:space="preserve">is expressed in </w:t>
      </w:r>
      <w:r w:rsidR="0034067F">
        <w:t xml:space="preserve">terms of </w:t>
      </w:r>
      <w:r>
        <w:t>15 kHz SCS</w:t>
      </w:r>
      <w:r w:rsidR="0034067F">
        <w:t>, thus requiring 5 bits to signal.</w:t>
      </w:r>
      <w:r>
        <w:t xml:space="preserve"> The 4 least significant bits of </w:t>
      </w:r>
      <w:r>
        <w:rPr>
          <w:rFonts w:ascii="Times New Roman" w:eastAsia="Times New Roman" w:hAnsi="Times New Roman" w:cs="Times New Roman"/>
          <w:position w:val="-10"/>
          <w:szCs w:val="20"/>
          <w:lang w:val="en-GB"/>
        </w:rPr>
        <w:object w:dxaOrig="420" w:dyaOrig="300" w14:anchorId="2A2EC28C">
          <v:shape id="_x0000_i1026" type="#_x0000_t75" style="width:21pt;height:15pt" o:ole="">
            <v:imagedata r:id="rId24" o:title=""/>
          </v:shape>
          <o:OLEObject Type="Embed" ProgID="Equation.3" ShapeID="_x0000_i1026" DrawAspect="Content" ObjectID="_1679222185" r:id="rId25"/>
        </w:object>
      </w:r>
      <w:r>
        <w:t xml:space="preserve"> are given by the higher-layer parameter </w:t>
      </w:r>
      <w:proofErr w:type="spellStart"/>
      <w:r>
        <w:rPr>
          <w:i/>
        </w:rPr>
        <w:t>ssb-SubcarrierOffset</w:t>
      </w:r>
      <w:proofErr w:type="spellEnd"/>
      <w:r>
        <w:t xml:space="preserve"> and the most significant bit of </w:t>
      </w:r>
      <w:r>
        <w:rPr>
          <w:rFonts w:ascii="Times New Roman" w:eastAsia="Times New Roman" w:hAnsi="Times New Roman" w:cs="Times New Roman"/>
          <w:position w:val="-10"/>
          <w:szCs w:val="20"/>
          <w:lang w:val="en-GB"/>
        </w:rPr>
        <w:object w:dxaOrig="420" w:dyaOrig="300" w14:anchorId="5EEA33F3">
          <v:shape id="_x0000_i1027" type="#_x0000_t75" style="width:21pt;height:15pt" o:ole="">
            <v:imagedata r:id="rId24" o:title=""/>
          </v:shape>
          <o:OLEObject Type="Embed" ProgID="Equation.3" ShapeID="_x0000_i1027" DrawAspect="Content" ObjectID="_1679222186" r:id="rId26"/>
        </w:object>
      </w:r>
      <w:r>
        <w:t xml:space="preserve"> is given by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t xml:space="preserve"> in the PBCH payload. </w:t>
      </w:r>
    </w:p>
    <w:p w14:paraId="7EF52E73" w14:textId="3462DF27" w:rsidR="00DE2DFA" w:rsidRPr="00B73077" w:rsidRDefault="00B255E1" w:rsidP="002E0B19">
      <w:pPr>
        <w:jc w:val="both"/>
        <w:rPr>
          <w:rFonts w:cs="Arial"/>
          <w:iCs/>
        </w:rPr>
      </w:pPr>
      <w:r w:rsidRPr="00B73077">
        <w:rPr>
          <w:rFonts w:cs="Arial"/>
        </w:rPr>
        <w:t xml:space="preserve">For FR2, </w:t>
      </w:r>
      <w:r>
        <w:rPr>
          <w:rFonts w:ascii="Times New Roman" w:eastAsia="Times New Roman" w:hAnsi="Times New Roman" w:cs="Times New Roman"/>
          <w:position w:val="-10"/>
          <w:szCs w:val="20"/>
          <w:lang w:val="en-GB"/>
        </w:rPr>
        <w:object w:dxaOrig="1665" w:dyaOrig="300" w14:anchorId="44155712">
          <v:shape id="_x0000_i1028" type="#_x0000_t75" style="width:83.25pt;height:15pt" o:ole="">
            <v:imagedata r:id="rId27" o:title=""/>
          </v:shape>
          <o:OLEObject Type="Embed" ProgID="Equation.3" ShapeID="_x0000_i1028" DrawAspect="Content" ObjectID="_1679222187" r:id="rId28"/>
        </w:object>
      </w:r>
      <w:r>
        <w:t xml:space="preserve"> </w:t>
      </w:r>
      <w:r w:rsidRPr="00737888">
        <w:rPr>
          <w:rFonts w:cs="Arial"/>
        </w:rPr>
        <w:t xml:space="preserve">and is </w:t>
      </w:r>
      <w:r w:rsidRPr="00B73077">
        <w:rPr>
          <w:rFonts w:cs="Arial"/>
        </w:rPr>
        <w:t xml:space="preserve">expressed in terms of the subcarrier spacing provided by the higher-layer parameter </w:t>
      </w:r>
      <w:proofErr w:type="spellStart"/>
      <w:r w:rsidRPr="00B73077">
        <w:rPr>
          <w:rFonts w:cs="Arial"/>
          <w:i/>
        </w:rPr>
        <w:t>subCarrierSpacingCommon</w:t>
      </w:r>
      <w:proofErr w:type="spellEnd"/>
      <w:r w:rsidR="0034067F">
        <w:rPr>
          <w:rFonts w:cs="Arial"/>
        </w:rPr>
        <w:t xml:space="preserve">, thus requiring 4 bits to signal. </w:t>
      </w:r>
      <w:r>
        <w:rPr>
          <w:rFonts w:cs="Arial"/>
        </w:rPr>
        <w:t xml:space="preserve">All </w:t>
      </w:r>
      <w:r>
        <w:t xml:space="preserve">4 bits of </w:t>
      </w:r>
      <w:r>
        <w:rPr>
          <w:rFonts w:ascii="Times New Roman" w:eastAsia="Times New Roman" w:hAnsi="Times New Roman" w:cs="Times New Roman"/>
          <w:position w:val="-10"/>
          <w:szCs w:val="20"/>
          <w:lang w:val="en-GB"/>
        </w:rPr>
        <w:object w:dxaOrig="420" w:dyaOrig="300" w14:anchorId="55C1D7B1">
          <v:shape id="_x0000_i1029" type="#_x0000_t75" style="width:21pt;height:15pt" o:ole="">
            <v:imagedata r:id="rId24" o:title=""/>
          </v:shape>
          <o:OLEObject Type="Embed" ProgID="Equation.3" ShapeID="_x0000_i1029" DrawAspect="Content" ObjectID="_1679222188" r:id="rId29"/>
        </w:object>
      </w:r>
      <w:r>
        <w:t xml:space="preserve"> are given by the higher-layer parameter </w:t>
      </w:r>
      <w:proofErr w:type="spellStart"/>
      <w:r>
        <w:rPr>
          <w:i/>
        </w:rPr>
        <w:t>ssb-SubcarrierOffset</w:t>
      </w:r>
      <w:proofErr w:type="spellEnd"/>
      <w:r>
        <w:rPr>
          <w:i/>
        </w:rPr>
        <w:t>.</w:t>
      </w:r>
      <w:r w:rsidR="00C52967">
        <w:rPr>
          <w:iCs/>
        </w:rPr>
        <w:t xml:space="preserve"> It should be noted that for FR2 </w:t>
      </w:r>
      <w:r w:rsidR="00C52967">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rsidR="00C52967">
        <w:rPr>
          <w:rFonts w:eastAsiaTheme="minorEastAsia"/>
          <w:sz w:val="24"/>
          <w:szCs w:val="24"/>
        </w:rPr>
        <w:t xml:space="preserve"> </w:t>
      </w:r>
      <w:r w:rsidR="00C52967" w:rsidRPr="00737888">
        <w:rPr>
          <w:rFonts w:eastAsiaTheme="minorEastAsia"/>
          <w:sz w:val="21"/>
          <w:szCs w:val="21"/>
        </w:rPr>
        <w:t>is</w:t>
      </w:r>
      <w:r w:rsidR="00C52967">
        <w:rPr>
          <w:rFonts w:eastAsiaTheme="minorEastAsia"/>
          <w:sz w:val="21"/>
          <w:szCs w:val="21"/>
        </w:rPr>
        <w:t xml:space="preserve"> used to signal the SS/PBCH block index.</w:t>
      </w:r>
      <w:r w:rsidR="00C52967">
        <w:rPr>
          <w:rFonts w:eastAsiaTheme="minorEastAsia"/>
          <w:sz w:val="24"/>
          <w:szCs w:val="24"/>
        </w:rPr>
        <w:t xml:space="preserve"> </w:t>
      </w:r>
    </w:p>
    <w:p w14:paraId="7DF6C97D" w14:textId="07D6B8BB" w:rsidR="00DD722D" w:rsidRPr="00DD722D" w:rsidRDefault="00DD722D" w:rsidP="002E0B19">
      <w:pPr>
        <w:jc w:val="both"/>
        <w:rPr>
          <w:rFonts w:cs="Arial"/>
        </w:rPr>
      </w:pPr>
      <w:r>
        <w:rPr>
          <w:rFonts w:cs="Arial"/>
        </w:rPr>
        <w:t xml:space="preserve">In Rel-16 </w:t>
      </w:r>
      <w:r w:rsidR="00321680">
        <w:rPr>
          <w:rFonts w:cs="Arial"/>
        </w:rPr>
        <w:t>NR-U</w:t>
      </w:r>
      <w:r>
        <w:rPr>
          <w:rFonts w:cs="Arial"/>
        </w:rPr>
        <w:t xml:space="preserve"> the least significant bit of </w:t>
      </w:r>
      <w:proofErr w:type="spellStart"/>
      <w:r>
        <w:rPr>
          <w:rFonts w:cs="Arial"/>
          <w:i/>
          <w:iCs/>
        </w:rPr>
        <w:t>ssb-SubcarrierOffset</w:t>
      </w:r>
      <w:proofErr w:type="spellEnd"/>
      <w:r>
        <w:rPr>
          <w:rFonts w:cs="Arial"/>
        </w:rPr>
        <w:t xml:space="preserve"> could be repurposed because</w:t>
      </w:r>
      <w:r>
        <w:t xml:space="preserve"> </w:t>
      </w:r>
      <w:r>
        <w:rPr>
          <w:rFonts w:ascii="Times New Roman" w:eastAsia="Times New Roman" w:hAnsi="Times New Roman" w:cs="Times New Roman"/>
          <w:position w:val="-10"/>
          <w:szCs w:val="20"/>
          <w:lang w:val="en-GB"/>
        </w:rPr>
        <w:object w:dxaOrig="420" w:dyaOrig="300" w14:anchorId="68DE2763">
          <v:shape id="_x0000_i1030" type="#_x0000_t75" style="width:21pt;height:15pt" o:ole="">
            <v:imagedata r:id="rId24" o:title=""/>
          </v:shape>
          <o:OLEObject Type="Embed" ProgID="Equation.3" ShapeID="_x0000_i1030" DrawAspect="Content" ObjectID="_1679222189" r:id="rId30"/>
        </w:object>
      </w:r>
      <w:r w:rsidRPr="00737888">
        <w:rPr>
          <w:rFonts w:cs="Arial"/>
        </w:rPr>
        <w:t>is only allowed to take even values</w:t>
      </w:r>
      <w:r>
        <w:rPr>
          <w:rFonts w:cs="Arial"/>
        </w:rPr>
        <w:t xml:space="preserve">. It should however be noted that </w:t>
      </w:r>
      <w:r w:rsidR="00724FC6">
        <w:rPr>
          <w:rFonts w:cs="Arial"/>
        </w:rPr>
        <w:t>because the range is 0-23, there are still 12 possible values</w:t>
      </w:r>
      <w:r w:rsidR="00321680">
        <w:rPr>
          <w:rFonts w:cs="Arial"/>
        </w:rPr>
        <w:t>, allowing a 30 kHz SS/PBCH block to be placed anywhere within a 30 kHz common RB</w:t>
      </w:r>
      <w:r w:rsidR="00724FC6">
        <w:rPr>
          <w:rFonts w:cs="Arial"/>
        </w:rPr>
        <w:t>.</w:t>
      </w:r>
    </w:p>
    <w:p w14:paraId="3B009F82" w14:textId="22062CA3" w:rsidR="00DD722D" w:rsidRDefault="007053F3" w:rsidP="002E0B19">
      <w:pPr>
        <w:jc w:val="both"/>
        <w:rPr>
          <w:lang w:val="en-GB"/>
        </w:rPr>
      </w:pPr>
      <w:r>
        <w:rPr>
          <w:rFonts w:cs="Arial"/>
        </w:rPr>
        <w:t xml:space="preserve">Because it has been agreed to support 120 kHz SS/PBCH block and 120 kHz </w:t>
      </w:r>
      <w:r w:rsidRPr="00796E03">
        <w:rPr>
          <w:lang w:val="en-GB"/>
        </w:rPr>
        <w:t>CORESET#0 for Type0-PDCCH</w:t>
      </w:r>
      <w:r>
        <w:rPr>
          <w:lang w:val="en-GB"/>
        </w:rPr>
        <w:t xml:space="preserve">, it seems probable that all 4 bits of </w:t>
      </w:r>
      <w:proofErr w:type="spellStart"/>
      <w:r>
        <w:rPr>
          <w:rFonts w:cs="Arial"/>
          <w:i/>
          <w:iCs/>
        </w:rPr>
        <w:t>ssb-SubcarrierOffset</w:t>
      </w:r>
      <w:proofErr w:type="spellEnd"/>
      <w:r>
        <w:t xml:space="preserve"> will be needed to support the </w:t>
      </w:r>
      <w:r>
        <w:rPr>
          <w:lang w:val="en-GB"/>
        </w:rPr>
        <w:t xml:space="preserve">full </w:t>
      </w:r>
      <w:r>
        <w:rPr>
          <w:rFonts w:ascii="Times New Roman" w:eastAsia="Times New Roman" w:hAnsi="Times New Roman" w:cs="Times New Roman"/>
          <w:position w:val="-10"/>
          <w:szCs w:val="20"/>
          <w:lang w:val="en-GB"/>
        </w:rPr>
        <w:object w:dxaOrig="420" w:dyaOrig="300" w14:anchorId="535EED65">
          <v:shape id="_x0000_i1031" type="#_x0000_t75" style="width:21pt;height:15pt" o:ole="">
            <v:imagedata r:id="rId24" o:title=""/>
          </v:shape>
          <o:OLEObject Type="Embed" ProgID="Equation.3" ShapeID="_x0000_i1031" DrawAspect="Content" ObjectID="_1679222190" r:id="rId31"/>
        </w:object>
      </w:r>
      <w:r>
        <w:rPr>
          <w:rFonts w:cs="Arial"/>
        </w:rPr>
        <w:t xml:space="preserve"> </w:t>
      </w:r>
      <w:r>
        <w:rPr>
          <w:lang w:val="en-GB"/>
        </w:rPr>
        <w:t>range 0-11, unless</w:t>
      </w:r>
      <w:r w:rsidR="00324D01">
        <w:rPr>
          <w:lang w:val="en-GB"/>
        </w:rPr>
        <w:t xml:space="preserve"> the RAN4 </w:t>
      </w:r>
      <w:r>
        <w:rPr>
          <w:lang w:val="en-GB"/>
        </w:rPr>
        <w:t xml:space="preserve">synchronization and </w:t>
      </w:r>
      <w:r w:rsidR="00324D01">
        <w:rPr>
          <w:lang w:val="en-GB"/>
        </w:rPr>
        <w:t>channel raster design</w:t>
      </w:r>
      <w:r>
        <w:rPr>
          <w:lang w:val="en-GB"/>
        </w:rPr>
        <w:t xml:space="preserve"> allows the range to be reduced to 8 values (3 bits).</w:t>
      </w:r>
    </w:p>
    <w:p w14:paraId="61EB3903" w14:textId="146EBA50" w:rsidR="00BB6793" w:rsidRDefault="002E11FC" w:rsidP="0034067F">
      <w:pPr>
        <w:pStyle w:val="Observation"/>
        <w:ind w:left="1710" w:hanging="1710"/>
        <w:rPr>
          <w:lang w:val="en-GB"/>
        </w:rPr>
      </w:pPr>
      <w:bookmarkStart w:id="32" w:name="_Toc68549374"/>
      <w:r>
        <w:rPr>
          <w:lang w:val="en-GB"/>
        </w:rPr>
        <w:t>If a DBTW is supported, t</w:t>
      </w:r>
      <w:r w:rsidR="00BB6793">
        <w:rPr>
          <w:lang w:val="en-GB"/>
        </w:rPr>
        <w:t xml:space="preserve">he Rel-16 way of </w:t>
      </w:r>
      <w:proofErr w:type="spellStart"/>
      <w:r w:rsidR="00BB6793">
        <w:rPr>
          <w:lang w:val="en-GB"/>
        </w:rPr>
        <w:t>signaling</w:t>
      </w:r>
      <w:proofErr w:type="spellEnd"/>
      <w:r w:rsidR="00BB6793">
        <w:rPr>
          <w:lang w:val="en-GB"/>
        </w:rPr>
        <w:t xml:space="preserve"> the </w:t>
      </w:r>
      <w:r w:rsidR="00BB6793" w:rsidRPr="00BB6793">
        <w:rPr>
          <w:lang w:val="en-GB"/>
        </w:rPr>
        <w:t>QCL relation</w:t>
      </w:r>
      <w:r w:rsidR="00BB6793">
        <w:rPr>
          <w:lang w:val="en-GB"/>
        </w:rPr>
        <w:t xml:space="preserve"> </w:t>
      </w:r>
      <w:r w:rsidR="0034067F">
        <w:rPr>
          <w:lang w:val="en-GB"/>
        </w:rPr>
        <w:t xml:space="preserve">(the parameter Q) </w:t>
      </w:r>
      <w:r w:rsidR="00BB6793">
        <w:rPr>
          <w:lang w:val="en-GB"/>
        </w:rPr>
        <w:t>in MIB does not seem feasible for this frequency range.</w:t>
      </w:r>
      <w:bookmarkEnd w:id="32"/>
    </w:p>
    <w:p w14:paraId="4764FE28" w14:textId="77777777" w:rsidR="00161756" w:rsidRDefault="00161756" w:rsidP="00BD3F19">
      <w:pPr>
        <w:rPr>
          <w:rFonts w:cs="Arial"/>
        </w:rPr>
      </w:pPr>
    </w:p>
    <w:p w14:paraId="56F2A983" w14:textId="1AFA431D" w:rsidR="00512993" w:rsidRDefault="00512993" w:rsidP="00512993">
      <w:pPr>
        <w:pStyle w:val="Heading2"/>
      </w:pPr>
      <w:r>
        <w:t>2.2</w:t>
      </w:r>
      <w:r>
        <w:tab/>
        <w:t>RACH Related Aspects</w:t>
      </w:r>
    </w:p>
    <w:p w14:paraId="0DED6D34" w14:textId="0DE4DE39" w:rsidR="00DA3D3A" w:rsidRDefault="00DA3D3A" w:rsidP="00DA3D3A">
      <w:pPr>
        <w:rPr>
          <w:lang w:val="en-GB" w:eastAsia="ja-JP"/>
        </w:rPr>
      </w:pPr>
      <w:r w:rsidRPr="00DA3D3A">
        <w:rPr>
          <w:noProof/>
          <w:lang w:val="en-GB" w:eastAsia="ja-JP"/>
        </w:rPr>
        <mc:AlternateContent>
          <mc:Choice Requires="wps">
            <w:drawing>
              <wp:anchor distT="45720" distB="45720" distL="114300" distR="114300" simplePos="0" relativeHeight="251660290" behindDoc="0" locked="0" layoutInCell="1" allowOverlap="1" wp14:anchorId="19B2650A" wp14:editId="0CE62650">
                <wp:simplePos x="0" y="0"/>
                <wp:positionH relativeFrom="margin">
                  <wp:posOffset>11430</wp:posOffset>
                </wp:positionH>
                <wp:positionV relativeFrom="paragraph">
                  <wp:posOffset>279400</wp:posOffset>
                </wp:positionV>
                <wp:extent cx="6098540" cy="1526540"/>
                <wp:effectExtent l="0" t="0" r="1651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26540"/>
                        </a:xfrm>
                        <a:prstGeom prst="rect">
                          <a:avLst/>
                        </a:prstGeom>
                        <a:solidFill>
                          <a:srgbClr val="FFFFFF"/>
                        </a:solidFill>
                        <a:ln w="9525">
                          <a:solidFill>
                            <a:srgbClr val="000000"/>
                          </a:solidFill>
                          <a:miter lim="800000"/>
                          <a:headEnd/>
                          <a:tailEnd/>
                        </a:ln>
                      </wps:spPr>
                      <wps:txbx>
                        <w:txbxContent>
                          <w:p w14:paraId="0A89776C" w14:textId="5333D0E0" w:rsidR="00DA3D3A" w:rsidRPr="00DA3D3A" w:rsidRDefault="00DA3D3A"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DA3D3A" w:rsidRPr="00DA3D3A" w:rsidRDefault="00DA3D3A"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DA3D3A" w:rsidRPr="00DA3D3A" w:rsidRDefault="00DA3D3A"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DA3D3A" w:rsidRDefault="00DA3D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2650A" id="_x0000_s1029" type="#_x0000_t202" style="position:absolute;margin-left:.9pt;margin-top:22pt;width:480.2pt;height:120.2pt;z-index:2516602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">
                <v:textbox>
                  <w:txbxContent>
                    <w:p w14:paraId="0A89776C" w14:textId="5333D0E0" w:rsidR="00DA3D3A" w:rsidRPr="00DA3D3A" w:rsidRDefault="00DA3D3A"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DA3D3A" w:rsidRPr="00DA3D3A" w:rsidRDefault="00DA3D3A"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DA3D3A" w:rsidRPr="00DA3D3A" w:rsidRDefault="00DA3D3A"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DA3D3A" w:rsidRPr="00DA3D3A" w:rsidRDefault="00DA3D3A"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DA3D3A" w:rsidRDefault="00DA3D3A"/>
                  </w:txbxContent>
                </v:textbox>
                <w10:wrap type="topAndBottom" anchorx="margin"/>
              </v:shape>
            </w:pict>
          </mc:Fallback>
        </mc:AlternateContent>
      </w:r>
      <w:r>
        <w:rPr>
          <w:lang w:val="en-GB" w:eastAsia="ja-JP"/>
        </w:rPr>
        <w:t>In RAN1#104-e, the following agreement was made:</w:t>
      </w:r>
    </w:p>
    <w:p w14:paraId="44FC8737" w14:textId="241D4F57" w:rsidR="00645C26" w:rsidRPr="005C5033" w:rsidRDefault="00C101B9"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As discussed in Section 2.1 with respect to SSB, we prefer to </w:t>
      </w:r>
      <w:r w:rsidR="00645C26" w:rsidRPr="005C5033">
        <w:rPr>
          <w:rFonts w:ascii="Arial" w:eastAsia="DengXian" w:hAnsi="Arial" w:cs="Arial"/>
          <w:szCs w:val="20"/>
          <w:lang w:eastAsia="ko-KR"/>
        </w:rPr>
        <w:t>avoid re-designing the FR2 initial access framework</w:t>
      </w:r>
      <w:r>
        <w:rPr>
          <w:rFonts w:ascii="Arial" w:eastAsia="DengXian" w:hAnsi="Arial" w:cs="Arial"/>
          <w:szCs w:val="20"/>
          <w:lang w:eastAsia="ko-KR"/>
        </w:rPr>
        <w:t xml:space="preserve">. Further, we propose in </w:t>
      </w:r>
      <w:r w:rsidR="0062389D">
        <w:rPr>
          <w:rFonts w:ascii="Arial" w:eastAsia="DengXian" w:hAnsi="Arial" w:cs="Arial"/>
          <w:szCs w:val="20"/>
          <w:lang w:eastAsia="ko-KR"/>
        </w:rPr>
        <w:t xml:space="preserve">Section 2.1.1 </w:t>
      </w:r>
      <w:r>
        <w:rPr>
          <w:rFonts w:ascii="Arial" w:eastAsia="DengXian" w:hAnsi="Arial" w:cs="Arial"/>
          <w:szCs w:val="20"/>
          <w:lang w:eastAsia="ko-KR"/>
        </w:rPr>
        <w:t xml:space="preserve">that </w:t>
      </w:r>
      <w:r w:rsidR="002E0B19">
        <w:rPr>
          <w:rFonts w:ascii="Arial" w:eastAsia="DengXian" w:hAnsi="Arial" w:cs="Arial"/>
          <w:szCs w:val="20"/>
          <w:lang w:eastAsia="ko-KR"/>
        </w:rPr>
        <w:t xml:space="preserve">for initial access </w:t>
      </w:r>
      <w:r w:rsidR="0062389D">
        <w:rPr>
          <w:rFonts w:ascii="Arial" w:eastAsia="DengXian" w:hAnsi="Arial" w:cs="Arial"/>
          <w:szCs w:val="20"/>
          <w:lang w:eastAsia="ko-KR"/>
        </w:rPr>
        <w:t xml:space="preserve">{SSB, CORESET0} = </w:t>
      </w:r>
      <w:r w:rsidR="002E0B19">
        <w:rPr>
          <w:rFonts w:ascii="Arial" w:eastAsia="DengXian" w:hAnsi="Arial" w:cs="Arial"/>
          <w:szCs w:val="20"/>
          <w:lang w:eastAsia="ko-KR"/>
        </w:rPr>
        <w:t>{</w:t>
      </w:r>
      <w:r w:rsidR="0062389D">
        <w:rPr>
          <w:rFonts w:ascii="Arial" w:eastAsia="DengXian" w:hAnsi="Arial" w:cs="Arial"/>
          <w:szCs w:val="20"/>
          <w:lang w:eastAsia="ko-KR"/>
        </w:rPr>
        <w:t>120,120</w:t>
      </w:r>
      <w:r w:rsidR="002E0B19">
        <w:rPr>
          <w:rFonts w:ascii="Arial" w:eastAsia="DengXian" w:hAnsi="Arial" w:cs="Arial"/>
          <w:szCs w:val="20"/>
          <w:lang w:eastAsia="ko-KR"/>
        </w:rPr>
        <w:t>}</w:t>
      </w:r>
      <w:r w:rsidR="0062389D">
        <w:rPr>
          <w:rFonts w:ascii="Arial" w:eastAsia="DengXian" w:hAnsi="Arial" w:cs="Arial"/>
          <w:szCs w:val="20"/>
          <w:lang w:eastAsia="ko-KR"/>
        </w:rPr>
        <w:t xml:space="preserve"> and </w:t>
      </w:r>
      <w:r w:rsidR="002E0B19">
        <w:rPr>
          <w:rFonts w:ascii="Arial" w:eastAsia="DengXian" w:hAnsi="Arial" w:cs="Arial"/>
          <w:szCs w:val="20"/>
          <w:lang w:eastAsia="ko-KR"/>
        </w:rPr>
        <w:t>{</w:t>
      </w:r>
      <w:r w:rsidR="0062389D">
        <w:rPr>
          <w:rFonts w:ascii="Arial" w:eastAsia="DengXian" w:hAnsi="Arial" w:cs="Arial"/>
          <w:szCs w:val="20"/>
          <w:lang w:eastAsia="ko-KR"/>
        </w:rPr>
        <w:t>240,120</w:t>
      </w:r>
      <w:r w:rsidR="002E0B19">
        <w:rPr>
          <w:rFonts w:ascii="Arial" w:eastAsia="DengXian" w:hAnsi="Arial" w:cs="Arial"/>
          <w:szCs w:val="20"/>
          <w:lang w:eastAsia="ko-KR"/>
        </w:rPr>
        <w:t>} kHz</w:t>
      </w:r>
      <w:r w:rsidR="0062389D">
        <w:rPr>
          <w:rFonts w:ascii="Arial" w:eastAsia="DengXian" w:hAnsi="Arial" w:cs="Arial"/>
          <w:szCs w:val="20"/>
          <w:lang w:eastAsia="ko-KR"/>
        </w:rPr>
        <w:t xml:space="preserve"> </w:t>
      </w:r>
      <w:proofErr w:type="gramStart"/>
      <w:r w:rsidR="0062389D">
        <w:rPr>
          <w:rFonts w:ascii="Arial" w:eastAsia="DengXian" w:hAnsi="Arial" w:cs="Arial"/>
          <w:szCs w:val="20"/>
          <w:lang w:eastAsia="ko-KR"/>
        </w:rPr>
        <w:t>are</w:t>
      </w:r>
      <w:proofErr w:type="gramEnd"/>
      <w:r w:rsidR="0062389D">
        <w:rPr>
          <w:rFonts w:ascii="Arial" w:eastAsia="DengXian" w:hAnsi="Arial" w:cs="Arial"/>
          <w:szCs w:val="20"/>
          <w:lang w:eastAsia="ko-KR"/>
        </w:rPr>
        <w:t xml:space="preserve"> supported </w:t>
      </w:r>
      <w:r w:rsidR="002E0B19">
        <w:rPr>
          <w:rFonts w:ascii="Arial" w:eastAsia="DengXian" w:hAnsi="Arial" w:cs="Arial"/>
          <w:szCs w:val="20"/>
          <w:lang w:eastAsia="ko-KR"/>
        </w:rPr>
        <w:t xml:space="preserve">as the SCS combinations </w:t>
      </w:r>
      <w:r w:rsidR="0062389D">
        <w:rPr>
          <w:rFonts w:ascii="Arial" w:eastAsia="DengXian" w:hAnsi="Arial" w:cs="Arial"/>
          <w:szCs w:val="20"/>
          <w:lang w:eastAsia="ko-KR"/>
        </w:rPr>
        <w:t xml:space="preserve">for the initial BWP, implying 120 kHz for </w:t>
      </w:r>
      <w:r w:rsidR="00C63A22" w:rsidRPr="005C5033">
        <w:rPr>
          <w:rFonts w:ascii="Arial" w:eastAsia="DengXian" w:hAnsi="Arial" w:cs="Arial"/>
          <w:szCs w:val="20"/>
          <w:lang w:eastAsia="ko-KR"/>
        </w:rPr>
        <w:t>PRACH</w:t>
      </w:r>
      <w:r w:rsidR="0062389D">
        <w:rPr>
          <w:rFonts w:ascii="Arial" w:eastAsia="DengXian" w:hAnsi="Arial" w:cs="Arial"/>
          <w:szCs w:val="20"/>
          <w:lang w:eastAsia="ko-KR"/>
        </w:rPr>
        <w:t>.</w:t>
      </w:r>
      <w:r w:rsidR="00C63A22" w:rsidRPr="005C5033">
        <w:rPr>
          <w:rFonts w:ascii="Arial" w:eastAsia="DengXian" w:hAnsi="Arial" w:cs="Arial"/>
          <w:szCs w:val="20"/>
          <w:lang w:eastAsia="ko-KR"/>
        </w:rPr>
        <w:t xml:space="preserve"> Based on this, we don't believe is necessary to introduce </w:t>
      </w:r>
      <w:r w:rsidR="00645C26" w:rsidRPr="005C5033">
        <w:rPr>
          <w:rFonts w:ascii="Arial" w:eastAsia="DengXian" w:hAnsi="Arial" w:cs="Arial"/>
          <w:szCs w:val="20"/>
          <w:lang w:eastAsia="ko-KR"/>
        </w:rPr>
        <w:t>additional SCSs (480</w:t>
      </w:r>
      <w:r w:rsidR="00E734D8" w:rsidRPr="005C5033">
        <w:rPr>
          <w:rFonts w:ascii="Arial" w:eastAsia="DengXian" w:hAnsi="Arial" w:cs="Arial"/>
          <w:szCs w:val="20"/>
          <w:lang w:eastAsia="ko-KR"/>
        </w:rPr>
        <w:t>/</w:t>
      </w:r>
      <w:r w:rsidR="00645C26"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 xml:space="preserve">kHz) </w:t>
      </w:r>
      <w:r w:rsidR="00C63A22" w:rsidRPr="005C5033">
        <w:rPr>
          <w:rFonts w:ascii="Arial" w:eastAsia="DengXian" w:hAnsi="Arial" w:cs="Arial"/>
          <w:szCs w:val="20"/>
          <w:lang w:eastAsia="ko-KR"/>
        </w:rPr>
        <w:t>for PRACH for initial access</w:t>
      </w:r>
      <w:r w:rsidR="00645C26" w:rsidRPr="005C5033">
        <w:rPr>
          <w:rFonts w:ascii="Arial" w:eastAsia="DengXian" w:hAnsi="Arial" w:cs="Arial"/>
          <w:szCs w:val="20"/>
          <w:lang w:eastAsia="ko-KR"/>
        </w:rPr>
        <w:t xml:space="preserve">. However, as </w:t>
      </w:r>
      <w:r w:rsidR="00E93287">
        <w:rPr>
          <w:rFonts w:ascii="Arial" w:eastAsia="DengXian" w:hAnsi="Arial" w:cs="Arial"/>
          <w:szCs w:val="20"/>
          <w:lang w:eastAsia="ko-KR"/>
        </w:rPr>
        <w:t>also</w:t>
      </w:r>
      <w:r w:rsidR="00645C26" w:rsidRPr="005C5033">
        <w:rPr>
          <w:rFonts w:ascii="Arial" w:eastAsia="DengXian" w:hAnsi="Arial" w:cs="Arial"/>
          <w:szCs w:val="20"/>
          <w:lang w:eastAsia="ko-KR"/>
        </w:rPr>
        <w:t xml:space="preserve"> discussed in Section</w:t>
      </w:r>
      <w:r w:rsidR="00522BF6" w:rsidRPr="005C5033">
        <w:rPr>
          <w:rFonts w:ascii="Arial" w:eastAsia="DengXian" w:hAnsi="Arial" w:cs="Arial"/>
          <w:szCs w:val="20"/>
          <w:lang w:eastAsia="ko-KR"/>
        </w:rPr>
        <w:t xml:space="preserve"> 2.1</w:t>
      </w:r>
      <w:r w:rsidR="00E93287">
        <w:rPr>
          <w:rFonts w:ascii="Arial" w:eastAsia="DengXian" w:hAnsi="Arial" w:cs="Arial"/>
          <w:szCs w:val="20"/>
          <w:lang w:eastAsia="ko-KR"/>
        </w:rPr>
        <w:t>.1</w:t>
      </w:r>
      <w:r w:rsidR="00645C26" w:rsidRPr="005C5033">
        <w:rPr>
          <w:rFonts w:ascii="Arial" w:eastAsia="DengXian" w:hAnsi="Arial" w:cs="Arial"/>
          <w:szCs w:val="20"/>
          <w:lang w:eastAsia="ko-KR"/>
        </w:rPr>
        <w:t xml:space="preserve">, for cases other than initial access (e.g. in an </w:t>
      </w:r>
      <w:proofErr w:type="spellStart"/>
      <w:r w:rsidR="00645C26" w:rsidRPr="005C5033">
        <w:rPr>
          <w:rFonts w:ascii="Arial" w:eastAsia="DengXian" w:hAnsi="Arial" w:cs="Arial"/>
          <w:szCs w:val="20"/>
          <w:lang w:eastAsia="ko-KR"/>
        </w:rPr>
        <w:t>SCell</w:t>
      </w:r>
      <w:proofErr w:type="spellEnd"/>
      <w:r w:rsidR="00C63A22" w:rsidRPr="005C5033">
        <w:rPr>
          <w:rFonts w:ascii="Arial" w:eastAsia="DengXian" w:hAnsi="Arial" w:cs="Arial"/>
          <w:szCs w:val="20"/>
          <w:lang w:eastAsia="ko-KR"/>
        </w:rPr>
        <w:t>) where coverage is not a concern, introduction of 480/960 kHz SCS</w:t>
      </w:r>
      <w:r w:rsidR="00DA3D3A">
        <w:rPr>
          <w:rFonts w:ascii="Arial" w:eastAsia="DengXian" w:hAnsi="Arial" w:cs="Arial"/>
          <w:szCs w:val="20"/>
          <w:lang w:eastAsia="ko-KR"/>
        </w:rPr>
        <w:t xml:space="preserve"> SS/PBCH block, and by extension 480/960 kHz SCS</w:t>
      </w:r>
      <w:r w:rsidR="00C63A22" w:rsidRPr="005C5033">
        <w:rPr>
          <w:rFonts w:ascii="Arial" w:eastAsia="DengXian" w:hAnsi="Arial" w:cs="Arial"/>
          <w:szCs w:val="20"/>
          <w:lang w:eastAsia="ko-KR"/>
        </w:rPr>
        <w:t xml:space="preserve"> for PRACH</w:t>
      </w:r>
      <w:r w:rsidR="00DA3D3A">
        <w:rPr>
          <w:rFonts w:ascii="Arial" w:eastAsia="DengXian" w:hAnsi="Arial" w:cs="Arial"/>
          <w:szCs w:val="20"/>
          <w:lang w:eastAsia="ko-KR"/>
        </w:rPr>
        <w:t>,</w:t>
      </w:r>
      <w:r w:rsidR="00C63A22" w:rsidRPr="005C5033">
        <w:rPr>
          <w:rFonts w:ascii="Arial" w:eastAsia="DengXian" w:hAnsi="Arial" w:cs="Arial"/>
          <w:szCs w:val="20"/>
          <w:lang w:eastAsia="ko-KR"/>
        </w:rPr>
        <w:t xml:space="preserve"> would allow for single </w:t>
      </w:r>
      <w:r w:rsidR="00645C26" w:rsidRPr="005C5033">
        <w:rPr>
          <w:rFonts w:ascii="Arial" w:eastAsia="DengXian" w:hAnsi="Arial" w:cs="Arial"/>
          <w:szCs w:val="20"/>
          <w:lang w:eastAsia="ko-KR"/>
        </w:rPr>
        <w:t xml:space="preserve">numerology </w:t>
      </w:r>
      <w:r w:rsidR="00C63A22" w:rsidRPr="005C5033">
        <w:rPr>
          <w:rFonts w:ascii="Arial" w:eastAsia="DengXian" w:hAnsi="Arial" w:cs="Arial"/>
          <w:szCs w:val="20"/>
          <w:lang w:eastAsia="ko-KR"/>
        </w:rPr>
        <w:t>operation of all signals/channels</w:t>
      </w:r>
      <w:r w:rsidR="00645C26" w:rsidRPr="005C5033">
        <w:rPr>
          <w:rFonts w:ascii="Arial" w:eastAsia="DengXian" w:hAnsi="Arial" w:cs="Arial"/>
          <w:szCs w:val="20"/>
          <w:lang w:eastAsia="ko-KR"/>
        </w:rPr>
        <w:t>.</w:t>
      </w:r>
    </w:p>
    <w:p w14:paraId="0C3BEA2E" w14:textId="77777777" w:rsidR="00645C26" w:rsidRPr="005C5033" w:rsidRDefault="00645C26" w:rsidP="00FD1284">
      <w:pPr>
        <w:pStyle w:val="B1"/>
        <w:spacing w:after="0"/>
        <w:ind w:left="0" w:firstLine="0"/>
        <w:rPr>
          <w:rFonts w:ascii="Arial" w:eastAsia="DengXian" w:hAnsi="Arial" w:cs="Arial"/>
          <w:szCs w:val="20"/>
          <w:lang w:eastAsia="ko-KR"/>
        </w:rPr>
      </w:pPr>
    </w:p>
    <w:p w14:paraId="63841438" w14:textId="089B8D55" w:rsidR="00645C26" w:rsidRPr="006F49D8" w:rsidRDefault="00ED26B8" w:rsidP="006F49D8">
      <w:pPr>
        <w:pStyle w:val="Proposal"/>
        <w:rPr>
          <w:rFonts w:eastAsia="DengXian" w:cs="Arial"/>
          <w:szCs w:val="20"/>
          <w:lang w:eastAsia="ko-KR"/>
        </w:rPr>
      </w:pPr>
      <w:bookmarkStart w:id="33" w:name="_Toc68549388"/>
      <w:r w:rsidRPr="00FD1DE5">
        <w:rPr>
          <w:rFonts w:eastAsia="DengXian" w:cs="Arial"/>
          <w:szCs w:val="20"/>
          <w:lang w:eastAsia="ko-KR"/>
        </w:rPr>
        <w:t>For cases other</w:t>
      </w:r>
      <w:r w:rsidRPr="00AC63EF">
        <w:rPr>
          <w:rFonts w:eastAsia="DengXian" w:cs="Arial"/>
          <w:szCs w:val="20"/>
          <w:lang w:eastAsia="ko-KR"/>
        </w:rPr>
        <w:t xml:space="preserve"> than initial access (e.g. for a </w:t>
      </w:r>
      <w:proofErr w:type="spellStart"/>
      <w:r w:rsidRPr="00AC63EF">
        <w:rPr>
          <w:rFonts w:eastAsia="DengXian" w:cs="Arial"/>
          <w:szCs w:val="20"/>
          <w:lang w:eastAsia="ko-KR"/>
        </w:rPr>
        <w:t>SCell</w:t>
      </w:r>
      <w:proofErr w:type="spellEnd"/>
      <w:r w:rsidR="0062389D">
        <w:rPr>
          <w:rFonts w:eastAsia="DengXian" w:cs="Arial"/>
          <w:szCs w:val="20"/>
          <w:lang w:eastAsia="ko-KR"/>
        </w:rPr>
        <w:t xml:space="preserve"> or </w:t>
      </w:r>
      <w:proofErr w:type="spellStart"/>
      <w:r w:rsidR="0062389D">
        <w:rPr>
          <w:rFonts w:eastAsia="DengXian" w:cs="Arial"/>
          <w:szCs w:val="20"/>
          <w:lang w:eastAsia="ko-KR"/>
        </w:rPr>
        <w:t>PSCell</w:t>
      </w:r>
      <w:proofErr w:type="spellEnd"/>
      <w:r w:rsidRPr="00AC63EF">
        <w:rPr>
          <w:rFonts w:eastAsia="DengXian" w:cs="Arial"/>
          <w:szCs w:val="20"/>
          <w:lang w:eastAsia="ko-KR"/>
        </w:rPr>
        <w:t xml:space="preserve">), </w:t>
      </w:r>
      <w:r w:rsidR="006F49D8">
        <w:rPr>
          <w:rFonts w:eastAsia="DengXian" w:cs="Arial"/>
          <w:szCs w:val="20"/>
          <w:lang w:eastAsia="ko-KR"/>
        </w:rPr>
        <w:t xml:space="preserve">if SS/PBCH block with 480 and 960 kHz SCS is supported, </w:t>
      </w:r>
      <w:r w:rsidRPr="00AC63EF">
        <w:rPr>
          <w:rFonts w:eastAsia="DengXian" w:cs="Arial"/>
          <w:szCs w:val="20"/>
          <w:lang w:eastAsia="ko-KR"/>
        </w:rPr>
        <w:t>support</w:t>
      </w:r>
      <w:r w:rsidR="006F49D8">
        <w:rPr>
          <w:rFonts w:eastAsia="DengXian" w:cs="Arial"/>
          <w:szCs w:val="20"/>
          <w:lang w:eastAsia="ko-KR"/>
        </w:rPr>
        <w:t xml:space="preserve"> PRACH with the same SCS as the UL BWP.</w:t>
      </w:r>
      <w:bookmarkEnd w:id="33"/>
    </w:p>
    <w:p w14:paraId="2C3A6272" w14:textId="405CE6B5" w:rsidR="00645C26" w:rsidRPr="005C5033" w:rsidRDefault="00C101B9"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As shown </w:t>
      </w:r>
      <w:r w:rsidR="00DA3D3A">
        <w:rPr>
          <w:rFonts w:ascii="Arial" w:eastAsia="DengXian" w:hAnsi="Arial" w:cs="Arial"/>
          <w:szCs w:val="20"/>
          <w:lang w:eastAsia="ko-KR"/>
        </w:rPr>
        <w:t xml:space="preserve">in the above agreement, it is FFS whether or not </w:t>
      </w:r>
      <w:r w:rsidR="00700464">
        <w:rPr>
          <w:rFonts w:ascii="Arial" w:eastAsia="DengXian" w:hAnsi="Arial" w:cs="Arial"/>
          <w:szCs w:val="20"/>
          <w:lang w:eastAsia="ko-KR"/>
        </w:rPr>
        <w:t xml:space="preserve">sequence length L = 571/1151 is supported for PRACH with SCS 480/960 kHz. While all sequence lengths are </w:t>
      </w:r>
      <w:r w:rsidR="00645C26" w:rsidRPr="005C5033">
        <w:rPr>
          <w:rFonts w:ascii="Arial" w:eastAsia="DengXian" w:hAnsi="Arial" w:cs="Arial"/>
          <w:szCs w:val="20"/>
          <w:lang w:eastAsia="ko-KR"/>
        </w:rPr>
        <w:t>L = 139/571/1151</w:t>
      </w:r>
      <w:r w:rsidR="00700464">
        <w:rPr>
          <w:rFonts w:ascii="Arial" w:eastAsia="DengXian" w:hAnsi="Arial" w:cs="Arial"/>
          <w:szCs w:val="20"/>
          <w:lang w:eastAsia="ko-KR"/>
        </w:rPr>
        <w:t xml:space="preserve"> are </w:t>
      </w:r>
      <w:r w:rsidR="00645C26" w:rsidRPr="005C5033">
        <w:rPr>
          <w:rFonts w:ascii="Arial" w:eastAsia="DengXian" w:hAnsi="Arial" w:cs="Arial"/>
          <w:szCs w:val="20"/>
          <w:lang w:eastAsia="ko-KR"/>
        </w:rPr>
        <w:t>useful from a coverage perspective for 120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kHz PRACH</w:t>
      </w:r>
      <w:r w:rsidR="00700464">
        <w:rPr>
          <w:rFonts w:ascii="Arial" w:eastAsia="DengXian" w:hAnsi="Arial" w:cs="Arial"/>
          <w:szCs w:val="20"/>
          <w:lang w:eastAsia="ko-KR"/>
        </w:rPr>
        <w:t>,</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 xml:space="preserve">sequence lengths </w:t>
      </w:r>
      <w:r w:rsidR="00AE3CFE" w:rsidRPr="005C5033">
        <w:rPr>
          <w:rFonts w:ascii="Arial" w:eastAsia="DengXian" w:hAnsi="Arial" w:cs="Arial"/>
          <w:szCs w:val="20"/>
          <w:lang w:eastAsia="ko-KR"/>
        </w:rPr>
        <w:t>L = 571/1151</w:t>
      </w:r>
      <w:r w:rsidR="00645C26" w:rsidRPr="005C5033">
        <w:rPr>
          <w:rFonts w:ascii="Arial" w:eastAsia="DengXian" w:hAnsi="Arial" w:cs="Arial"/>
          <w:szCs w:val="20"/>
          <w:lang w:eastAsia="ko-KR"/>
        </w:rPr>
        <w:t xml:space="preserve"> </w:t>
      </w:r>
      <w:r w:rsidR="00700464">
        <w:rPr>
          <w:rFonts w:ascii="Arial" w:eastAsia="DengXian" w:hAnsi="Arial" w:cs="Arial"/>
          <w:szCs w:val="20"/>
          <w:lang w:eastAsia="ko-KR"/>
        </w:rPr>
        <w:t xml:space="preserve">for 480/960 kHz </w:t>
      </w:r>
      <w:r w:rsidR="00645C26" w:rsidRPr="005C5033">
        <w:rPr>
          <w:rFonts w:ascii="Arial" w:eastAsia="DengXian" w:hAnsi="Arial" w:cs="Arial"/>
          <w:szCs w:val="20"/>
          <w:lang w:eastAsia="ko-KR"/>
        </w:rPr>
        <w:t>would</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lead to excessive PRACH bandwidth</w:t>
      </w:r>
      <w:r w:rsidR="00C63A22" w:rsidRPr="005C5033">
        <w:rPr>
          <w:rFonts w:ascii="Arial" w:eastAsia="DengXian" w:hAnsi="Arial" w:cs="Arial"/>
          <w:szCs w:val="20"/>
          <w:lang w:eastAsia="ko-KR"/>
        </w:rPr>
        <w:t xml:space="preserve"> (e.g., 548 MHz/1.1 GHz for 960 kHz SCS). Such wide PRACH bandwidth is </w:t>
      </w:r>
      <w:r w:rsidR="00645C26" w:rsidRPr="005C5033">
        <w:rPr>
          <w:rFonts w:ascii="Arial" w:eastAsia="DengXian" w:hAnsi="Arial" w:cs="Arial"/>
          <w:szCs w:val="20"/>
          <w:lang w:eastAsia="ko-KR"/>
        </w:rPr>
        <w:t xml:space="preserve">not needed </w:t>
      </w:r>
      <w:proofErr w:type="gramStart"/>
      <w:r w:rsidR="00645C26" w:rsidRPr="005C5033">
        <w:rPr>
          <w:rFonts w:ascii="Arial" w:eastAsia="DengXian" w:hAnsi="Arial" w:cs="Arial"/>
          <w:szCs w:val="20"/>
          <w:lang w:eastAsia="ko-KR"/>
        </w:rPr>
        <w:t>in order to</w:t>
      </w:r>
      <w:proofErr w:type="gramEnd"/>
      <w:r w:rsidR="00645C26" w:rsidRPr="005C5033">
        <w:rPr>
          <w:rFonts w:ascii="Arial" w:eastAsia="DengXian" w:hAnsi="Arial" w:cs="Arial"/>
          <w:szCs w:val="20"/>
          <w:lang w:eastAsia="ko-KR"/>
        </w:rPr>
        <w:t xml:space="preserve"> maximize PRACH transmission power given regulatory/UE power limits.</w:t>
      </w:r>
    </w:p>
    <w:p w14:paraId="739FA6BE" w14:textId="6D6EB30A" w:rsidR="000F0573" w:rsidRPr="005C5033" w:rsidRDefault="000F0573" w:rsidP="000F0573">
      <w:pPr>
        <w:pStyle w:val="B1"/>
        <w:spacing w:after="0"/>
        <w:ind w:left="0" w:firstLine="0"/>
        <w:rPr>
          <w:rFonts w:ascii="Arial" w:eastAsia="DengXian" w:hAnsi="Arial" w:cs="Arial"/>
          <w:szCs w:val="20"/>
          <w:lang w:eastAsia="ko-KR"/>
        </w:rPr>
      </w:pPr>
    </w:p>
    <w:p w14:paraId="49A74E20" w14:textId="337960E9" w:rsidR="000F0573" w:rsidRPr="005C5033" w:rsidRDefault="000F0573" w:rsidP="002E0B19">
      <w:pPr>
        <w:pStyle w:val="Observation"/>
        <w:ind w:left="1710" w:hanging="1710"/>
        <w:rPr>
          <w:rFonts w:eastAsia="DengXian" w:cs="Arial"/>
          <w:szCs w:val="20"/>
          <w:lang w:eastAsia="ko-KR"/>
        </w:rPr>
      </w:pPr>
      <w:bookmarkStart w:id="34" w:name="_Toc68549375"/>
      <w:r w:rsidRPr="005C5033">
        <w:t xml:space="preserve">While </w:t>
      </w:r>
      <w:r w:rsidRPr="005C5033">
        <w:rPr>
          <w:rFonts w:eastAsia="DengXian" w:cs="Arial"/>
          <w:szCs w:val="20"/>
          <w:lang w:eastAsia="ko-KR"/>
        </w:rPr>
        <w:t>L = 139/571/1151 is beneficial for 120 kHz PRACH from a coverage perspective, the longer sequence lengths (L = 571/1151) lead to excessive PRACH bandwidth</w:t>
      </w:r>
      <w:r w:rsidR="00C63A22" w:rsidRPr="005C5033">
        <w:rPr>
          <w:rFonts w:eastAsia="DengXian" w:cs="Arial"/>
          <w:szCs w:val="20"/>
          <w:lang w:eastAsia="ko-KR"/>
        </w:rPr>
        <w:t xml:space="preserve"> for 480/960 kHz PRACH</w:t>
      </w:r>
      <w:r w:rsidRPr="005C5033">
        <w:rPr>
          <w:rFonts w:eastAsia="DengXian" w:cs="Arial"/>
          <w:szCs w:val="20"/>
          <w:lang w:eastAsia="ko-KR"/>
        </w:rPr>
        <w:t>, and are not needed in order to maximize PRACH transmission power given regulatory/UE power limits.</w:t>
      </w:r>
      <w:bookmarkEnd w:id="34"/>
    </w:p>
    <w:p w14:paraId="326D09ED" w14:textId="77777777" w:rsidR="000F0573" w:rsidRPr="005C5033" w:rsidRDefault="000F0573" w:rsidP="000F0573">
      <w:pPr>
        <w:pStyle w:val="B1"/>
        <w:spacing w:after="0"/>
        <w:ind w:left="0" w:firstLine="0"/>
        <w:rPr>
          <w:rFonts w:ascii="Arial" w:eastAsia="DengXian" w:hAnsi="Arial" w:cs="Arial"/>
          <w:szCs w:val="20"/>
          <w:lang w:eastAsia="ko-KR"/>
        </w:rPr>
      </w:pPr>
    </w:p>
    <w:p w14:paraId="1C229CF2" w14:textId="0FBCF3B5" w:rsidR="000F0573" w:rsidRPr="005C5033" w:rsidRDefault="000F0573" w:rsidP="005C5033">
      <w:pPr>
        <w:pStyle w:val="Proposal"/>
        <w:rPr>
          <w:rFonts w:eastAsia="DengXian" w:cs="Arial"/>
          <w:szCs w:val="20"/>
          <w:lang w:eastAsia="ko-KR"/>
        </w:rPr>
      </w:pPr>
      <w:bookmarkStart w:id="35" w:name="_Toc68549389"/>
      <w:r w:rsidRPr="005C5033">
        <w:rPr>
          <w:rFonts w:eastAsia="DengXian" w:cs="Arial"/>
          <w:szCs w:val="20"/>
          <w:lang w:eastAsia="ko-KR"/>
        </w:rPr>
        <w:t>For 480/960 kHz PRACH, specify support for only L = 139.</w:t>
      </w:r>
      <w:bookmarkEnd w:id="35"/>
      <w:r w:rsidR="00700464">
        <w:rPr>
          <w:rFonts w:eastAsia="DengXian" w:cs="Arial"/>
          <w:szCs w:val="20"/>
          <w:lang w:eastAsia="ko-KR"/>
        </w:rPr>
        <w:t xml:space="preserve"> Do not specify support for L = 571/1151.</w:t>
      </w:r>
    </w:p>
    <w:p w14:paraId="2CB48349" w14:textId="241D584B" w:rsidR="00ED26B8" w:rsidRPr="005C5033" w:rsidRDefault="00ED26B8" w:rsidP="00FD1284">
      <w:pPr>
        <w:pStyle w:val="B1"/>
        <w:spacing w:after="0"/>
        <w:ind w:left="0" w:firstLine="0"/>
        <w:rPr>
          <w:rFonts w:ascii="Arial" w:eastAsia="DengXian" w:hAnsi="Arial" w:cs="Arial"/>
          <w:szCs w:val="20"/>
          <w:lang w:eastAsia="ko-KR"/>
        </w:rPr>
      </w:pPr>
    </w:p>
    <w:p w14:paraId="56D0F598" w14:textId="431F6827"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PRACH </w:t>
      </w:r>
      <w:r w:rsidR="00E734D8" w:rsidRPr="005C5033">
        <w:rPr>
          <w:rFonts w:ascii="Arial" w:eastAsia="DengXian" w:hAnsi="Arial" w:cs="Arial"/>
          <w:szCs w:val="20"/>
          <w:lang w:eastAsia="ko-KR"/>
        </w:rPr>
        <w:t xml:space="preserve">SCSs </w:t>
      </w:r>
      <w:r w:rsidRPr="005C5033">
        <w:rPr>
          <w:rFonts w:ascii="Arial" w:eastAsia="DengXian" w:hAnsi="Arial" w:cs="Arial"/>
          <w:szCs w:val="20"/>
          <w:lang w:eastAsia="ko-KR"/>
        </w:rPr>
        <w:t>480</w:t>
      </w:r>
      <w:r w:rsidR="00E734D8" w:rsidRPr="005C5033">
        <w:rPr>
          <w:rFonts w:ascii="Arial" w:eastAsia="DengXian" w:hAnsi="Arial" w:cs="Arial"/>
          <w:szCs w:val="20"/>
          <w:lang w:eastAsia="ko-KR"/>
        </w:rPr>
        <w:t>/</w:t>
      </w:r>
      <w:r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w:t>
      </w:r>
      <w:r w:rsidR="00E734D8" w:rsidRPr="005C5033">
        <w:rPr>
          <w:rFonts w:ascii="Arial" w:eastAsia="DengXian" w:hAnsi="Arial" w:cs="Arial"/>
          <w:szCs w:val="20"/>
          <w:lang w:eastAsia="ko-KR"/>
        </w:rPr>
        <w:t xml:space="preserve"> lead to </w:t>
      </w:r>
      <w:r w:rsidRPr="005C5033">
        <w:rPr>
          <w:rFonts w:ascii="Arial" w:eastAsia="DengXian" w:hAnsi="Arial" w:cs="Arial"/>
          <w:szCs w:val="20"/>
          <w:lang w:eastAsia="ko-KR"/>
        </w:rPr>
        <w:t xml:space="preserve">PRACH occasions </w:t>
      </w:r>
      <w:r w:rsidR="00E734D8" w:rsidRPr="005C5033">
        <w:rPr>
          <w:rFonts w:ascii="Arial" w:eastAsia="DengXian" w:hAnsi="Arial" w:cs="Arial"/>
          <w:szCs w:val="20"/>
          <w:lang w:eastAsia="ko-KR"/>
        </w:rPr>
        <w:t>that are 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shorter</w:t>
      </w:r>
      <w:r w:rsidR="00E734D8" w:rsidRPr="005C5033">
        <w:rPr>
          <w:rFonts w:ascii="Arial" w:eastAsia="DengXian" w:hAnsi="Arial" w:cs="Arial"/>
          <w:szCs w:val="20"/>
          <w:lang w:eastAsia="ko-KR"/>
        </w:rPr>
        <w:t xml:space="preserve"> than for 120</w:t>
      </w:r>
      <w:r w:rsidR="00EC74AE" w:rsidRPr="005C5033">
        <w:rPr>
          <w:rFonts w:ascii="Arial" w:eastAsia="DengXian" w:hAnsi="Arial" w:cs="Arial"/>
          <w:szCs w:val="20"/>
          <w:lang w:eastAsia="ko-KR"/>
        </w:rPr>
        <w:t> </w:t>
      </w:r>
      <w:r w:rsidR="00E734D8" w:rsidRPr="005C5033">
        <w:rPr>
          <w:rFonts w:ascii="Arial" w:eastAsia="DengXian" w:hAnsi="Arial" w:cs="Arial"/>
          <w:szCs w:val="20"/>
          <w:lang w:eastAsia="ko-KR"/>
        </w:rPr>
        <w:t>kHz</w:t>
      </w:r>
      <w:r w:rsidRPr="005C5033">
        <w:rPr>
          <w:rFonts w:ascii="Arial" w:eastAsia="DengXian" w:hAnsi="Arial" w:cs="Arial"/>
          <w:szCs w:val="20"/>
          <w:lang w:eastAsia="ko-KR"/>
        </w:rPr>
        <w:t xml:space="preserve">, in </w:t>
      </w:r>
      <w:r w:rsidR="00E734D8" w:rsidRPr="005C5033">
        <w:rPr>
          <w:rFonts w:ascii="Arial" w:eastAsia="DengXian" w:hAnsi="Arial" w:cs="Arial"/>
          <w:szCs w:val="20"/>
          <w:lang w:eastAsia="ko-KR"/>
        </w:rPr>
        <w:t>theory</w:t>
      </w:r>
      <w:r w:rsidRPr="005C5033">
        <w:rPr>
          <w:rFonts w:ascii="Arial" w:eastAsia="DengXian" w:hAnsi="Arial" w:cs="Arial"/>
          <w:szCs w:val="20"/>
          <w:lang w:eastAsia="ko-KR"/>
        </w:rPr>
        <w:t xml:space="preserve"> allowing </w:t>
      </w:r>
      <w:r w:rsidR="00E734D8" w:rsidRPr="005C5033">
        <w:rPr>
          <w:rFonts w:ascii="Arial" w:eastAsia="DengXian" w:hAnsi="Arial" w:cs="Arial"/>
          <w:szCs w:val="20"/>
          <w:lang w:eastAsia="ko-KR"/>
        </w:rPr>
        <w:t>PRACH occasions</w:t>
      </w:r>
      <w:r w:rsidRPr="005C5033">
        <w:rPr>
          <w:rFonts w:ascii="Arial" w:eastAsia="DengXian" w:hAnsi="Arial" w:cs="Arial"/>
          <w:szCs w:val="20"/>
          <w:lang w:eastAsia="ko-KR"/>
        </w:rPr>
        <w:t xml:space="preserve"> to be </w:t>
      </w:r>
      <w:r w:rsidR="00E734D8" w:rsidRPr="005C5033">
        <w:rPr>
          <w:rFonts w:ascii="Arial" w:eastAsia="DengXian" w:hAnsi="Arial" w:cs="Arial"/>
          <w:szCs w:val="20"/>
          <w:lang w:eastAsia="ko-KR"/>
        </w:rPr>
        <w:t>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more densely spaced in time. </w:t>
      </w:r>
      <w:r w:rsidR="004763D4" w:rsidRPr="005C5033">
        <w:rPr>
          <w:rFonts w:ascii="Arial" w:eastAsia="DengXian" w:hAnsi="Arial" w:cs="Arial"/>
          <w:szCs w:val="20"/>
          <w:lang w:eastAsia="ko-KR"/>
        </w:rPr>
        <w:t>Such dense</w:t>
      </w:r>
      <w:r w:rsidR="006D342D" w:rsidRPr="005C5033">
        <w:rPr>
          <w:rFonts w:ascii="Arial" w:eastAsia="DengXian" w:hAnsi="Arial" w:cs="Arial"/>
          <w:szCs w:val="20"/>
          <w:lang w:eastAsia="ko-KR"/>
        </w:rPr>
        <w:t xml:space="preserve"> spacing would, h</w:t>
      </w:r>
      <w:r w:rsidRPr="005C5033">
        <w:rPr>
          <w:rFonts w:ascii="Arial" w:eastAsia="DengXian" w:hAnsi="Arial" w:cs="Arial"/>
          <w:szCs w:val="20"/>
          <w:lang w:eastAsia="ko-KR"/>
        </w:rPr>
        <w:t xml:space="preserve">owever, increase the PRACH processing load (operations/unit time) by the corresponding factor.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avoid </w:t>
      </w:r>
      <w:r w:rsidR="00E734D8" w:rsidRPr="005C5033">
        <w:rPr>
          <w:rFonts w:ascii="Arial" w:eastAsia="DengXian" w:hAnsi="Arial" w:cs="Arial"/>
          <w:szCs w:val="20"/>
          <w:lang w:eastAsia="ko-KR"/>
        </w:rPr>
        <w:t>this</w:t>
      </w:r>
      <w:r w:rsidRPr="005C5033">
        <w:rPr>
          <w:rFonts w:ascii="Arial" w:eastAsia="DengXian" w:hAnsi="Arial" w:cs="Arial"/>
          <w:szCs w:val="20"/>
          <w:lang w:eastAsia="ko-KR"/>
        </w:rPr>
        <w:t xml:space="preserve">, it is important to </w:t>
      </w:r>
      <w:r w:rsidR="006D342D" w:rsidRPr="005C5033">
        <w:rPr>
          <w:rFonts w:ascii="Arial" w:eastAsia="DengXian" w:hAnsi="Arial" w:cs="Arial"/>
          <w:szCs w:val="20"/>
          <w:lang w:eastAsia="ko-KR"/>
        </w:rPr>
        <w:t>support</w:t>
      </w:r>
      <w:r w:rsidRPr="005C5033">
        <w:rPr>
          <w:rFonts w:ascii="Arial" w:eastAsia="DengXian" w:hAnsi="Arial" w:cs="Arial"/>
          <w:szCs w:val="20"/>
          <w:lang w:eastAsia="ko-KR"/>
        </w:rPr>
        <w:t xml:space="preserve"> PRACH configurations for 480/960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SCS </w:t>
      </w:r>
      <w:r w:rsidR="006D342D" w:rsidRPr="005C5033">
        <w:rPr>
          <w:rFonts w:ascii="Arial" w:eastAsia="DengXian" w:hAnsi="Arial" w:cs="Arial"/>
          <w:szCs w:val="20"/>
          <w:lang w:eastAsia="ko-KR"/>
        </w:rPr>
        <w:t xml:space="preserve">that </w:t>
      </w:r>
      <w:r w:rsidRPr="005C5033">
        <w:rPr>
          <w:rFonts w:ascii="Arial" w:eastAsia="DengXian" w:hAnsi="Arial" w:cs="Arial"/>
          <w:szCs w:val="20"/>
          <w:lang w:eastAsia="ko-KR"/>
        </w:rPr>
        <w:t>allow maintaining the same PRACH processing load as for 120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 PRACH configurations.</w:t>
      </w:r>
    </w:p>
    <w:p w14:paraId="3594C51C" w14:textId="3B1F5ADD" w:rsidR="00645C26" w:rsidRPr="005C5033" w:rsidRDefault="00645C26" w:rsidP="00FD1284">
      <w:pPr>
        <w:pStyle w:val="B1"/>
        <w:spacing w:after="0"/>
        <w:ind w:left="0" w:firstLine="0"/>
        <w:rPr>
          <w:rFonts w:ascii="Arial" w:eastAsia="DengXian" w:hAnsi="Arial" w:cs="Arial"/>
          <w:szCs w:val="20"/>
          <w:lang w:eastAsia="ko-KR"/>
        </w:rPr>
      </w:pPr>
    </w:p>
    <w:p w14:paraId="2DD3B0F5" w14:textId="68BA8172" w:rsidR="00ED26B8" w:rsidRPr="005C5033" w:rsidRDefault="00ED26B8" w:rsidP="005C5033">
      <w:pPr>
        <w:pStyle w:val="Proposal"/>
        <w:rPr>
          <w:rFonts w:eastAsia="DengXian" w:cs="Arial"/>
          <w:szCs w:val="20"/>
          <w:lang w:eastAsia="ko-KR"/>
        </w:rPr>
      </w:pPr>
      <w:bookmarkStart w:id="36" w:name="_Ref61755811"/>
      <w:bookmarkStart w:id="37" w:name="_Toc68549390"/>
      <w:r w:rsidRPr="005C5033">
        <w:rPr>
          <w:rFonts w:eastAsia="DengXian" w:cs="Arial"/>
          <w:szCs w:val="20"/>
          <w:lang w:eastAsia="ko-KR"/>
        </w:rPr>
        <w:t>For 480/960 kHz PRACH</w:t>
      </w:r>
      <w:r w:rsidR="00FC5496" w:rsidRPr="005C5033">
        <w:rPr>
          <w:rFonts w:eastAsia="DengXian" w:cs="Arial"/>
          <w:szCs w:val="20"/>
          <w:lang w:eastAsia="ko-KR"/>
        </w:rPr>
        <w:t>, support PRACH configurations that allow maintaining the same PRACH processing load (operations/unit time) as for 120 kHz PRACH configurations.</w:t>
      </w:r>
      <w:bookmarkEnd w:id="36"/>
      <w:bookmarkEnd w:id="37"/>
    </w:p>
    <w:p w14:paraId="79C5176D" w14:textId="1920AD0E" w:rsidR="00522566" w:rsidRPr="005C5033" w:rsidRDefault="00522566" w:rsidP="00FD1284">
      <w:pPr>
        <w:pStyle w:val="B1"/>
        <w:spacing w:after="0"/>
        <w:ind w:left="0" w:firstLine="0"/>
        <w:rPr>
          <w:rFonts w:ascii="Arial" w:eastAsia="DengXian" w:hAnsi="Arial" w:cs="Arial"/>
          <w:szCs w:val="20"/>
          <w:lang w:eastAsia="ko-KR"/>
        </w:rPr>
      </w:pPr>
    </w:p>
    <w:p w14:paraId="007276F8" w14:textId="245B3128" w:rsidR="00FC650E"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The design of the PRACH configuration tables for FR1/FR2 </w:t>
      </w:r>
      <w:r w:rsidR="006D342D" w:rsidRPr="005C5033">
        <w:rPr>
          <w:rFonts w:ascii="Arial" w:eastAsia="DengXian" w:hAnsi="Arial" w:cs="Arial"/>
          <w:szCs w:val="20"/>
          <w:lang w:eastAsia="ko-KR"/>
        </w:rPr>
        <w:t xml:space="preserve">in Rel-15 </w:t>
      </w:r>
      <w:r w:rsidRPr="005C5033">
        <w:rPr>
          <w:rFonts w:ascii="Arial" w:eastAsia="DengXian" w:hAnsi="Arial" w:cs="Arial"/>
          <w:szCs w:val="20"/>
          <w:lang w:eastAsia="ko-KR"/>
        </w:rPr>
        <w:t>was a tedious process</w:t>
      </w:r>
      <w:r w:rsidR="00AB6E63" w:rsidRPr="005C5033">
        <w:rPr>
          <w:rFonts w:ascii="Arial" w:eastAsia="DengXian" w:hAnsi="Arial" w:cs="Arial"/>
          <w:szCs w:val="20"/>
          <w:lang w:eastAsia="ko-KR"/>
        </w:rPr>
        <w:t xml:space="preserve">, and it </w:t>
      </w:r>
      <w:r w:rsidRPr="005C5033">
        <w:rPr>
          <w:rFonts w:ascii="Arial" w:eastAsia="DengXian" w:hAnsi="Arial" w:cs="Arial"/>
          <w:szCs w:val="20"/>
          <w:lang w:eastAsia="ko-KR"/>
        </w:rPr>
        <w:t xml:space="preserve">would be </w:t>
      </w:r>
      <w:r w:rsidR="00AB6E63" w:rsidRPr="005C5033">
        <w:rPr>
          <w:rFonts w:ascii="Arial" w:eastAsia="DengXian" w:hAnsi="Arial" w:cs="Arial"/>
          <w:szCs w:val="20"/>
          <w:lang w:eastAsia="ko-KR"/>
        </w:rPr>
        <w:t xml:space="preserve">preferable </w:t>
      </w:r>
      <w:r w:rsidRPr="005C5033">
        <w:rPr>
          <w:rFonts w:ascii="Arial" w:eastAsia="DengXian" w:hAnsi="Arial" w:cs="Arial"/>
          <w:szCs w:val="20"/>
          <w:lang w:eastAsia="ko-KR"/>
        </w:rPr>
        <w:t xml:space="preserve">to avoid </w:t>
      </w:r>
      <w:r w:rsidR="00AB6E63" w:rsidRPr="005C5033">
        <w:rPr>
          <w:rFonts w:ascii="Arial" w:eastAsia="DengXian" w:hAnsi="Arial" w:cs="Arial"/>
          <w:szCs w:val="20"/>
          <w:lang w:eastAsia="ko-KR"/>
        </w:rPr>
        <w:t>this when defining the band above 52.6 GHz</w:t>
      </w:r>
      <w:r w:rsidRPr="005C5033">
        <w:rPr>
          <w:rFonts w:ascii="Arial" w:eastAsia="DengXian" w:hAnsi="Arial" w:cs="Arial"/>
          <w:szCs w:val="20"/>
          <w:lang w:eastAsia="ko-KR"/>
        </w:rPr>
        <w:t>. It would therefore be beneficial to reuse the existing Rel-15/16 FR2 PRACH configuration table (</w:t>
      </w:r>
      <w:r w:rsidR="00F02921" w:rsidRPr="005C5033">
        <w:rPr>
          <w:rFonts w:ascii="Arial" w:eastAsia="DengXian" w:hAnsi="Arial" w:cs="Arial"/>
          <w:szCs w:val="20"/>
          <w:lang w:eastAsia="ko-KR"/>
        </w:rPr>
        <w:t>Table 6.3.3.2-4 in 3GPP TS 38.211</w:t>
      </w:r>
      <w:r w:rsidR="008A580C" w:rsidRPr="005C5033">
        <w:rPr>
          <w:rFonts w:ascii="Arial" w:eastAsia="DengXian" w:hAnsi="Arial" w:cs="Arial"/>
          <w:szCs w:val="20"/>
          <w:lang w:eastAsia="ko-KR"/>
        </w:rPr>
        <w:t xml:space="preserve"> </w:t>
      </w:r>
      <w:r w:rsidR="008A580C" w:rsidRPr="005C5033">
        <w:rPr>
          <w:rFonts w:ascii="Arial" w:eastAsia="DengXian" w:hAnsi="Arial" w:cs="Arial"/>
          <w:szCs w:val="20"/>
          <w:lang w:eastAsia="ko-KR"/>
        </w:rPr>
        <w:fldChar w:fldCharType="begin"/>
      </w:r>
      <w:r w:rsidR="008A580C" w:rsidRPr="005C5033">
        <w:rPr>
          <w:rFonts w:ascii="Arial" w:eastAsia="DengXian" w:hAnsi="Arial" w:cs="Arial"/>
          <w:szCs w:val="20"/>
          <w:lang w:eastAsia="ko-KR"/>
        </w:rPr>
        <w:instrText xml:space="preserve"> REF _Ref61010403 \r \h </w:instrText>
      </w:r>
      <w:r w:rsidR="008A580C" w:rsidRPr="005C5033">
        <w:rPr>
          <w:rFonts w:ascii="Arial" w:eastAsia="DengXian" w:hAnsi="Arial" w:cs="Arial"/>
          <w:szCs w:val="20"/>
          <w:lang w:eastAsia="ko-KR"/>
        </w:rPr>
      </w:r>
      <w:r w:rsidR="008A580C" w:rsidRPr="005C5033">
        <w:rPr>
          <w:rFonts w:ascii="Arial" w:eastAsia="DengXian" w:hAnsi="Arial" w:cs="Arial"/>
          <w:szCs w:val="20"/>
          <w:lang w:eastAsia="ko-KR"/>
        </w:rPr>
        <w:fldChar w:fldCharType="separate"/>
      </w:r>
      <w:r w:rsidR="008A580C" w:rsidRPr="005C5033">
        <w:rPr>
          <w:rFonts w:ascii="Arial" w:eastAsia="DengXian" w:hAnsi="Arial" w:cs="Arial"/>
          <w:szCs w:val="20"/>
          <w:lang w:eastAsia="ko-KR"/>
        </w:rPr>
        <w:t>[4]</w:t>
      </w:r>
      <w:r w:rsidR="008A580C" w:rsidRPr="005C5033">
        <w:rPr>
          <w:rFonts w:ascii="Arial" w:eastAsia="DengXian" w:hAnsi="Arial" w:cs="Arial"/>
          <w:szCs w:val="20"/>
          <w:lang w:eastAsia="ko-KR"/>
        </w:rPr>
        <w:fldChar w:fldCharType="end"/>
      </w:r>
      <w:r w:rsidRPr="005C5033">
        <w:rPr>
          <w:rFonts w:ascii="Arial" w:eastAsia="DengXian" w:hAnsi="Arial" w:cs="Arial"/>
          <w:szCs w:val="20"/>
          <w:lang w:eastAsia="ko-KR"/>
        </w:rPr>
        <w:t>) also for higher SCSs.</w:t>
      </w:r>
      <w:r w:rsidR="008E5DD3" w:rsidRPr="005C5033">
        <w:rPr>
          <w:rFonts w:ascii="Arial" w:eastAsia="DengXian" w:hAnsi="Arial" w:cs="Arial"/>
          <w:szCs w:val="20"/>
          <w:lang w:eastAsia="ko-KR"/>
        </w:rPr>
        <w:t xml:space="preserve"> </w:t>
      </w:r>
      <w:r w:rsidR="00FC650E" w:rsidRPr="005C5033">
        <w:rPr>
          <w:rFonts w:ascii="Arial" w:eastAsia="DengXian" w:hAnsi="Arial" w:cs="Arial"/>
          <w:szCs w:val="20"/>
          <w:lang w:eastAsia="ko-KR"/>
        </w:rPr>
        <w:t xml:space="preserve">In the following we discuss how this </w:t>
      </w:r>
      <w:r w:rsidR="00FC650E">
        <w:rPr>
          <w:rFonts w:ascii="Arial" w:eastAsia="DengXian" w:hAnsi="Arial" w:cs="Arial"/>
          <w:szCs w:val="20"/>
          <w:lang w:eastAsia="ko-KR"/>
        </w:rPr>
        <w:t>may be achieved when introducing SCS larger than 120 kHz for PRACH</w:t>
      </w:r>
      <w:r w:rsidRPr="005C5033">
        <w:rPr>
          <w:rFonts w:ascii="Arial" w:eastAsia="DengXian" w:hAnsi="Arial" w:cs="Arial"/>
          <w:szCs w:val="20"/>
          <w:lang w:eastAsia="ko-KR"/>
        </w:rPr>
        <w:t>.</w:t>
      </w:r>
    </w:p>
    <w:p w14:paraId="45E59A6A" w14:textId="77777777" w:rsidR="00FC650E" w:rsidRDefault="00FC650E" w:rsidP="00FD1284">
      <w:pPr>
        <w:pStyle w:val="B1"/>
        <w:spacing w:after="0"/>
        <w:ind w:left="0" w:firstLine="0"/>
        <w:rPr>
          <w:rFonts w:ascii="Arial" w:eastAsia="DengXian" w:hAnsi="Arial" w:cs="Arial"/>
          <w:szCs w:val="20"/>
          <w:lang w:eastAsia="ko-KR"/>
        </w:rPr>
      </w:pPr>
    </w:p>
    <w:p w14:paraId="078F8177" w14:textId="03F09D7E" w:rsidR="00645C26" w:rsidRPr="005C5033" w:rsidRDefault="008E5DD3"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 small excerpt from </w:t>
      </w:r>
      <w:r w:rsidR="00FC650E">
        <w:rPr>
          <w:rFonts w:ascii="Arial" w:eastAsia="DengXian" w:hAnsi="Arial" w:cs="Arial"/>
          <w:szCs w:val="20"/>
          <w:lang w:eastAsia="ko-KR"/>
        </w:rPr>
        <w:t>the 38.211</w:t>
      </w:r>
      <w:r w:rsidRPr="005C5033">
        <w:rPr>
          <w:rFonts w:ascii="Arial" w:eastAsia="DengXian" w:hAnsi="Arial" w:cs="Arial"/>
          <w:szCs w:val="20"/>
          <w:lang w:eastAsia="ko-KR"/>
        </w:rPr>
        <w:t xml:space="preserve"> table is shown in </w:t>
      </w:r>
      <w:r w:rsidR="006A1A3A">
        <w:rPr>
          <w:rFonts w:ascii="Arial" w:eastAsia="DengXian" w:hAnsi="Arial" w:cs="Arial"/>
          <w:szCs w:val="20"/>
          <w:lang w:eastAsia="ko-KR"/>
        </w:rPr>
        <w:fldChar w:fldCharType="begin"/>
      </w:r>
      <w:r w:rsidR="006A1A3A">
        <w:rPr>
          <w:rFonts w:ascii="Arial" w:eastAsia="DengXian" w:hAnsi="Arial" w:cs="Arial"/>
          <w:szCs w:val="20"/>
          <w:lang w:eastAsia="ko-KR"/>
        </w:rPr>
        <w:instrText xml:space="preserve"> REF _Ref68176963 \h </w:instrText>
      </w:r>
      <w:r w:rsidR="006A1A3A">
        <w:rPr>
          <w:rFonts w:ascii="Arial" w:eastAsia="DengXian" w:hAnsi="Arial" w:cs="Arial"/>
          <w:szCs w:val="20"/>
          <w:lang w:eastAsia="ko-KR"/>
        </w:rPr>
      </w:r>
      <w:r w:rsidR="006A1A3A">
        <w:rPr>
          <w:rFonts w:ascii="Arial" w:eastAsia="DengXian" w:hAnsi="Arial" w:cs="Arial"/>
          <w:szCs w:val="20"/>
          <w:lang w:eastAsia="ko-KR"/>
        </w:rPr>
        <w:fldChar w:fldCharType="separate"/>
      </w:r>
      <w:r w:rsidR="006A1A3A">
        <w:t xml:space="preserve">Table </w:t>
      </w:r>
      <w:r w:rsidR="006A1A3A">
        <w:rPr>
          <w:noProof/>
        </w:rPr>
        <w:t>4</w:t>
      </w:r>
      <w:r w:rsidR="006A1A3A">
        <w:rPr>
          <w:rFonts w:ascii="Arial" w:eastAsia="DengXian" w:hAnsi="Arial" w:cs="Arial"/>
          <w:szCs w:val="20"/>
          <w:lang w:eastAsia="ko-KR"/>
        </w:rPr>
        <w:fldChar w:fldCharType="end"/>
      </w:r>
      <w:r w:rsidR="00FC650E">
        <w:rPr>
          <w:rFonts w:ascii="Arial" w:eastAsia="DengXian" w:hAnsi="Arial" w:cs="Arial"/>
          <w:szCs w:val="20"/>
          <w:lang w:eastAsia="ko-KR"/>
        </w:rPr>
        <w:t xml:space="preserve"> for the example of the A3 preamble format</w:t>
      </w:r>
      <w:r w:rsidRPr="005C5033">
        <w:rPr>
          <w:rFonts w:ascii="Arial" w:eastAsia="DengXian" w:hAnsi="Arial" w:cs="Arial"/>
          <w:szCs w:val="20"/>
          <w:lang w:eastAsia="ko-KR"/>
        </w:rPr>
        <w:t>.</w:t>
      </w:r>
    </w:p>
    <w:p w14:paraId="100448A6" w14:textId="26F22BB1" w:rsidR="008E5DD3" w:rsidRPr="005C5033" w:rsidRDefault="008E5DD3" w:rsidP="00FD1284">
      <w:pPr>
        <w:pStyle w:val="B1"/>
        <w:spacing w:after="0"/>
        <w:ind w:left="0" w:firstLine="0"/>
        <w:rPr>
          <w:rFonts w:ascii="Arial" w:eastAsia="DengXian" w:hAnsi="Arial" w:cs="Arial"/>
          <w:szCs w:val="20"/>
          <w:lang w:eastAsia="ko-KR"/>
        </w:rPr>
      </w:pPr>
    </w:p>
    <w:p w14:paraId="3382E24B" w14:textId="60DEA8DA" w:rsidR="008E5DD3" w:rsidRPr="005C5033" w:rsidRDefault="008E5DD3" w:rsidP="005C5033">
      <w:pPr>
        <w:pStyle w:val="Caption"/>
      </w:pPr>
      <w:bookmarkStart w:id="38" w:name="_Ref68176963"/>
      <w:r w:rsidRPr="00F5624F">
        <w:t xml:space="preserve">Table </w:t>
      </w:r>
      <w:r w:rsidRPr="005C5033">
        <w:fldChar w:fldCharType="begin"/>
      </w:r>
      <w:r w:rsidRPr="005C5033">
        <w:instrText xml:space="preserve"> SEQ Table \* ARABIC </w:instrText>
      </w:r>
      <w:r w:rsidRPr="005C5033">
        <w:fldChar w:fldCharType="separate"/>
      </w:r>
      <w:r w:rsidR="00823116">
        <w:rPr>
          <w:noProof/>
        </w:rPr>
        <w:t>4</w:t>
      </w:r>
      <w:r w:rsidRPr="005C5033">
        <w:fldChar w:fldCharType="end"/>
      </w:r>
      <w:bookmarkEnd w:id="38"/>
      <w:r w:rsidRPr="005C5033">
        <w:t xml:space="preserve"> </w:t>
      </w:r>
      <w:r w:rsidR="00C0555F">
        <w:t xml:space="preserve">Excerpt of </w:t>
      </w:r>
      <w:r w:rsidRPr="000B428E">
        <w:t xml:space="preserve">PRACH configuration table </w:t>
      </w:r>
      <w:r w:rsidR="00C0555F">
        <w:t>for FR2</w:t>
      </w:r>
      <w:r w:rsidRPr="000B428E">
        <w:t xml:space="preserve"> (from 3GPP TS 38.211</w:t>
      </w:r>
      <w:r w:rsidR="008A580C" w:rsidRPr="000B428E">
        <w:t xml:space="preserve"> </w:t>
      </w:r>
      <w:r w:rsidR="008A580C" w:rsidRPr="005C5033">
        <w:rPr>
          <w:rFonts w:eastAsia="DengXian" w:cs="Arial"/>
          <w:szCs w:val="20"/>
          <w:lang w:eastAsia="ko-KR"/>
        </w:rPr>
        <w:fldChar w:fldCharType="begin"/>
      </w:r>
      <w:r w:rsidR="008A580C" w:rsidRPr="005C5033">
        <w:rPr>
          <w:rFonts w:eastAsia="DengXian" w:cs="Arial"/>
          <w:szCs w:val="20"/>
          <w:lang w:eastAsia="ko-KR"/>
        </w:rPr>
        <w:instrText xml:space="preserve"> REF _Ref61010403 \r \h </w:instrText>
      </w:r>
      <w:r w:rsidR="008A580C" w:rsidRPr="005C5033">
        <w:rPr>
          <w:rFonts w:eastAsia="DengXian" w:cs="Arial"/>
          <w:szCs w:val="20"/>
          <w:lang w:eastAsia="ko-KR"/>
        </w:rPr>
      </w:r>
      <w:r w:rsidR="008A580C" w:rsidRPr="005C5033">
        <w:rPr>
          <w:rFonts w:eastAsia="DengXian" w:cs="Arial"/>
          <w:szCs w:val="20"/>
          <w:lang w:eastAsia="ko-KR"/>
        </w:rPr>
        <w:fldChar w:fldCharType="separate"/>
      </w:r>
      <w:r w:rsidR="008A580C" w:rsidRPr="005C5033">
        <w:rPr>
          <w:rFonts w:eastAsia="DengXian" w:cs="Arial"/>
          <w:szCs w:val="20"/>
          <w:lang w:eastAsia="ko-KR"/>
        </w:rPr>
        <w:t>[4]</w:t>
      </w:r>
      <w:r w:rsidR="008A580C" w:rsidRPr="005C5033">
        <w:rPr>
          <w:rFonts w:eastAsia="DengXian" w:cs="Arial"/>
          <w:szCs w:val="20"/>
          <w:lang w:eastAsia="ko-KR"/>
        </w:rPr>
        <w:fldChar w:fldCharType="end"/>
      </w:r>
      <w:r w:rsidR="008A580C" w:rsidRPr="00F5624F">
        <w:t xml:space="preserve">, Table </w:t>
      </w:r>
      <w:r w:rsidR="008A580C" w:rsidRPr="005C5033">
        <w:rPr>
          <w:rFonts w:eastAsia="DengXian" w:cs="Arial"/>
          <w:szCs w:val="20"/>
          <w:lang w:eastAsia="ko-KR"/>
        </w:rPr>
        <w:t>6.3.3.2-4</w:t>
      </w:r>
      <w:r w:rsidRPr="00F5624F">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1C98" w:rsidRPr="00916F30" w14:paraId="6492938A" w14:textId="77777777" w:rsidTr="00696E26">
        <w:tc>
          <w:tcPr>
            <w:tcW w:w="988" w:type="dxa"/>
            <w:vMerge w:val="restart"/>
            <w:shd w:val="clear" w:color="auto" w:fill="auto"/>
          </w:tcPr>
          <w:p w14:paraId="62579B4A" w14:textId="77777777" w:rsidR="00021C98" w:rsidRPr="00916F30" w:rsidRDefault="00021C98" w:rsidP="00696E2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5ED4AE3" w14:textId="77777777" w:rsidR="00021C98" w:rsidRPr="00916F30" w:rsidRDefault="00021C98" w:rsidP="00696E2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B5ED19E"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2593DCC2" wp14:editId="3488B2E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F9C4422" w14:textId="77777777" w:rsidR="00021C98" w:rsidRPr="00916F30" w:rsidRDefault="00021C98" w:rsidP="00696E26">
            <w:pPr>
              <w:pStyle w:val="TAH"/>
              <w:rPr>
                <w:rFonts w:eastAsia="Batang"/>
              </w:rPr>
            </w:pPr>
            <w:r w:rsidRPr="00916F30">
              <w:rPr>
                <w:rFonts w:eastAsia="Batang"/>
              </w:rPr>
              <w:t>Slot number</w:t>
            </w:r>
          </w:p>
        </w:tc>
        <w:tc>
          <w:tcPr>
            <w:tcW w:w="1020" w:type="dxa"/>
            <w:vMerge w:val="restart"/>
            <w:shd w:val="clear" w:color="auto" w:fill="auto"/>
          </w:tcPr>
          <w:p w14:paraId="38EEACDC" w14:textId="77777777" w:rsidR="00021C98" w:rsidRPr="00916F30" w:rsidRDefault="00021C98" w:rsidP="00696E26">
            <w:pPr>
              <w:pStyle w:val="TAH"/>
              <w:rPr>
                <w:rFonts w:eastAsia="Batang"/>
              </w:rPr>
            </w:pPr>
            <w:r w:rsidRPr="00916F30">
              <w:rPr>
                <w:rFonts w:eastAsia="Batang"/>
              </w:rPr>
              <w:t>Starting symbol</w:t>
            </w:r>
          </w:p>
        </w:tc>
        <w:tc>
          <w:tcPr>
            <w:tcW w:w="992" w:type="dxa"/>
            <w:vMerge w:val="restart"/>
          </w:tcPr>
          <w:p w14:paraId="376A4BF7" w14:textId="77777777" w:rsidR="00021C98" w:rsidRPr="00916F30" w:rsidRDefault="00021C98" w:rsidP="00696E26">
            <w:pPr>
              <w:pStyle w:val="TAH"/>
              <w:rPr>
                <w:rFonts w:eastAsia="Batang"/>
              </w:rPr>
            </w:pPr>
            <w:r w:rsidRPr="00916F30">
              <w:rPr>
                <w:rFonts w:eastAsia="Batang"/>
              </w:rPr>
              <w:t>Number of PRACH slots within a 60 kHz slot</w:t>
            </w:r>
          </w:p>
        </w:tc>
        <w:tc>
          <w:tcPr>
            <w:tcW w:w="1134" w:type="dxa"/>
            <w:vMerge w:val="restart"/>
          </w:tcPr>
          <w:p w14:paraId="03F1069F"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7B450DA1" wp14:editId="2328CA08">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5097A49A"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6EDB6826" wp14:editId="72377270">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1C98" w:rsidRPr="00916F30" w14:paraId="36CDB7BC" w14:textId="77777777" w:rsidTr="00696E26">
        <w:tc>
          <w:tcPr>
            <w:tcW w:w="988" w:type="dxa"/>
            <w:vMerge/>
            <w:shd w:val="clear" w:color="auto" w:fill="auto"/>
            <w:vAlign w:val="center"/>
          </w:tcPr>
          <w:p w14:paraId="66330F0A" w14:textId="77777777" w:rsidR="00021C98" w:rsidRPr="00916F30" w:rsidRDefault="00021C98" w:rsidP="00696E26">
            <w:pPr>
              <w:keepNext/>
              <w:keepLines/>
              <w:spacing w:after="0"/>
              <w:jc w:val="center"/>
              <w:rPr>
                <w:rFonts w:eastAsia="Batang"/>
                <w:b/>
                <w:sz w:val="18"/>
              </w:rPr>
            </w:pPr>
          </w:p>
        </w:tc>
        <w:tc>
          <w:tcPr>
            <w:tcW w:w="1134" w:type="dxa"/>
            <w:vMerge/>
            <w:shd w:val="clear" w:color="auto" w:fill="auto"/>
            <w:vAlign w:val="center"/>
          </w:tcPr>
          <w:p w14:paraId="4FD4E0C7" w14:textId="77777777" w:rsidR="00021C98" w:rsidRPr="00916F30" w:rsidRDefault="00021C98" w:rsidP="00696E26">
            <w:pPr>
              <w:keepNext/>
              <w:keepLines/>
              <w:spacing w:after="0"/>
              <w:jc w:val="center"/>
              <w:rPr>
                <w:rFonts w:eastAsia="Batang"/>
                <w:b/>
                <w:sz w:val="18"/>
              </w:rPr>
            </w:pPr>
          </w:p>
        </w:tc>
        <w:tc>
          <w:tcPr>
            <w:tcW w:w="708" w:type="dxa"/>
            <w:tcBorders>
              <w:top w:val="nil"/>
            </w:tcBorders>
            <w:shd w:val="clear" w:color="auto" w:fill="auto"/>
            <w:vAlign w:val="center"/>
          </w:tcPr>
          <w:p w14:paraId="34C00C95"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542E1D9C" wp14:editId="0832CB4F">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AF853F"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1FAE3CD0" wp14:editId="7A5FCA5B">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697A8E9" w14:textId="77777777" w:rsidR="00021C98" w:rsidRPr="00916F30" w:rsidRDefault="00021C98" w:rsidP="00696E26">
            <w:pPr>
              <w:keepNext/>
              <w:keepLines/>
              <w:spacing w:after="0"/>
              <w:jc w:val="center"/>
              <w:rPr>
                <w:rFonts w:eastAsia="Batang"/>
                <w:b/>
                <w:sz w:val="18"/>
              </w:rPr>
            </w:pPr>
          </w:p>
        </w:tc>
        <w:tc>
          <w:tcPr>
            <w:tcW w:w="1020" w:type="dxa"/>
            <w:vMerge/>
            <w:shd w:val="clear" w:color="auto" w:fill="auto"/>
          </w:tcPr>
          <w:p w14:paraId="1337E97C" w14:textId="77777777" w:rsidR="00021C98" w:rsidRPr="00916F30" w:rsidRDefault="00021C98" w:rsidP="00696E26">
            <w:pPr>
              <w:keepNext/>
              <w:keepLines/>
              <w:spacing w:after="0"/>
              <w:jc w:val="center"/>
              <w:rPr>
                <w:rFonts w:eastAsia="Batang"/>
                <w:b/>
                <w:sz w:val="18"/>
              </w:rPr>
            </w:pPr>
          </w:p>
        </w:tc>
        <w:tc>
          <w:tcPr>
            <w:tcW w:w="992" w:type="dxa"/>
            <w:vMerge/>
          </w:tcPr>
          <w:p w14:paraId="6304F0AB" w14:textId="77777777" w:rsidR="00021C98" w:rsidRPr="00916F30" w:rsidRDefault="00021C98" w:rsidP="00696E26">
            <w:pPr>
              <w:keepNext/>
              <w:keepLines/>
              <w:spacing w:after="0"/>
              <w:jc w:val="center"/>
              <w:rPr>
                <w:rFonts w:eastAsia="Batang"/>
                <w:b/>
                <w:sz w:val="18"/>
              </w:rPr>
            </w:pPr>
          </w:p>
        </w:tc>
        <w:tc>
          <w:tcPr>
            <w:tcW w:w="1134" w:type="dxa"/>
            <w:vMerge/>
          </w:tcPr>
          <w:p w14:paraId="4F91B9EB" w14:textId="77777777" w:rsidR="00021C98" w:rsidRPr="00916F30" w:rsidRDefault="00021C98" w:rsidP="00696E26">
            <w:pPr>
              <w:keepNext/>
              <w:keepLines/>
              <w:spacing w:after="0"/>
              <w:jc w:val="center"/>
              <w:rPr>
                <w:rFonts w:eastAsia="Batang"/>
                <w:b/>
                <w:sz w:val="18"/>
              </w:rPr>
            </w:pPr>
          </w:p>
        </w:tc>
        <w:tc>
          <w:tcPr>
            <w:tcW w:w="981" w:type="dxa"/>
            <w:vMerge/>
          </w:tcPr>
          <w:p w14:paraId="2496587F" w14:textId="77777777" w:rsidR="00021C98" w:rsidRPr="00916F30" w:rsidRDefault="00021C98" w:rsidP="00696E26">
            <w:pPr>
              <w:keepNext/>
              <w:keepLines/>
              <w:spacing w:after="0"/>
              <w:jc w:val="center"/>
              <w:rPr>
                <w:rFonts w:eastAsia="Batang"/>
                <w:b/>
                <w:sz w:val="18"/>
              </w:rPr>
            </w:pPr>
          </w:p>
        </w:tc>
      </w:tr>
      <w:tr w:rsidR="00021C98" w:rsidRPr="00916F30" w14:paraId="5FD4DCB9" w14:textId="77777777" w:rsidTr="00696E26">
        <w:tc>
          <w:tcPr>
            <w:tcW w:w="988" w:type="dxa"/>
            <w:shd w:val="clear" w:color="auto" w:fill="auto"/>
            <w:vAlign w:val="center"/>
          </w:tcPr>
          <w:p w14:paraId="0D0E7899" w14:textId="77777777" w:rsidR="00021C98" w:rsidRPr="00916F30" w:rsidRDefault="00021C98" w:rsidP="00696E26">
            <w:pPr>
              <w:pStyle w:val="TAC"/>
              <w:rPr>
                <w:rFonts w:eastAsia="Batang"/>
              </w:rPr>
            </w:pPr>
            <w:r w:rsidRPr="00916F30">
              <w:rPr>
                <w:rFonts w:eastAsia="Batang"/>
              </w:rPr>
              <w:t>68</w:t>
            </w:r>
          </w:p>
        </w:tc>
        <w:tc>
          <w:tcPr>
            <w:tcW w:w="1134" w:type="dxa"/>
            <w:shd w:val="clear" w:color="auto" w:fill="auto"/>
          </w:tcPr>
          <w:p w14:paraId="7F353C20"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3850A0D2"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0836623F"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2963C914" w14:textId="77777777" w:rsidR="00021C98" w:rsidRPr="00916F30" w:rsidRDefault="00021C98" w:rsidP="00696E26">
            <w:pPr>
              <w:pStyle w:val="TAC"/>
              <w:rPr>
                <w:rFonts w:eastAsia="Batang"/>
              </w:rPr>
            </w:pPr>
            <w:r w:rsidRPr="00916F30">
              <w:rPr>
                <w:rFonts w:eastAsia="Batang"/>
              </w:rPr>
              <w:t>4,9,14,19,24,29,34,39</w:t>
            </w:r>
          </w:p>
        </w:tc>
        <w:tc>
          <w:tcPr>
            <w:tcW w:w="1020" w:type="dxa"/>
            <w:shd w:val="clear" w:color="auto" w:fill="auto"/>
            <w:vAlign w:val="center"/>
          </w:tcPr>
          <w:p w14:paraId="7425D4F6"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6A67D342" w14:textId="77777777" w:rsidR="00021C98" w:rsidRPr="00916F30" w:rsidRDefault="00021C98" w:rsidP="00696E26">
            <w:pPr>
              <w:pStyle w:val="TAC"/>
              <w:rPr>
                <w:rFonts w:eastAsia="Batang"/>
              </w:rPr>
            </w:pPr>
            <w:r w:rsidRPr="00916F30">
              <w:rPr>
                <w:rFonts w:eastAsia="Batang"/>
              </w:rPr>
              <w:t>2</w:t>
            </w:r>
          </w:p>
        </w:tc>
        <w:tc>
          <w:tcPr>
            <w:tcW w:w="1134" w:type="dxa"/>
          </w:tcPr>
          <w:p w14:paraId="2C20686A" w14:textId="77777777" w:rsidR="00021C98" w:rsidRPr="00916F30" w:rsidRDefault="00021C98" w:rsidP="00696E26">
            <w:pPr>
              <w:pStyle w:val="TAC"/>
              <w:rPr>
                <w:rFonts w:eastAsia="Batang"/>
              </w:rPr>
            </w:pPr>
            <w:r w:rsidRPr="00916F30">
              <w:rPr>
                <w:rFonts w:eastAsia="Batang"/>
              </w:rPr>
              <w:t>2</w:t>
            </w:r>
          </w:p>
        </w:tc>
        <w:tc>
          <w:tcPr>
            <w:tcW w:w="981" w:type="dxa"/>
          </w:tcPr>
          <w:p w14:paraId="72527163" w14:textId="77777777" w:rsidR="00021C98" w:rsidRPr="00916F30" w:rsidRDefault="00021C98" w:rsidP="00696E26">
            <w:pPr>
              <w:pStyle w:val="TAC"/>
              <w:rPr>
                <w:rFonts w:eastAsia="Batang"/>
              </w:rPr>
            </w:pPr>
            <w:r w:rsidRPr="00916F30">
              <w:rPr>
                <w:rFonts w:eastAsia="Batang"/>
              </w:rPr>
              <w:t>6</w:t>
            </w:r>
          </w:p>
        </w:tc>
      </w:tr>
      <w:tr w:rsidR="00021C98" w:rsidRPr="00916F30" w14:paraId="55BA2E6B" w14:textId="77777777" w:rsidTr="00696E26">
        <w:tc>
          <w:tcPr>
            <w:tcW w:w="988" w:type="dxa"/>
            <w:shd w:val="clear" w:color="auto" w:fill="auto"/>
            <w:vAlign w:val="center"/>
          </w:tcPr>
          <w:p w14:paraId="0424857E" w14:textId="77777777" w:rsidR="00021C98" w:rsidRPr="00916F30" w:rsidRDefault="00021C98" w:rsidP="00696E26">
            <w:pPr>
              <w:pStyle w:val="TAC"/>
              <w:rPr>
                <w:rFonts w:eastAsia="Batang"/>
              </w:rPr>
            </w:pPr>
            <w:r w:rsidRPr="00916F30">
              <w:rPr>
                <w:rFonts w:eastAsia="Batang"/>
              </w:rPr>
              <w:t>69</w:t>
            </w:r>
          </w:p>
        </w:tc>
        <w:tc>
          <w:tcPr>
            <w:tcW w:w="1134" w:type="dxa"/>
            <w:shd w:val="clear" w:color="auto" w:fill="auto"/>
          </w:tcPr>
          <w:p w14:paraId="0821F5EA"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19E3BBE5"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50AC0846"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72C6353A" w14:textId="77777777" w:rsidR="00021C98" w:rsidRPr="00916F30" w:rsidRDefault="00021C98" w:rsidP="00696E26">
            <w:pPr>
              <w:pStyle w:val="TAC"/>
              <w:rPr>
                <w:rFonts w:eastAsia="Batang"/>
              </w:rPr>
            </w:pPr>
            <w:r w:rsidRPr="00916F30">
              <w:rPr>
                <w:rFonts w:eastAsia="Batang"/>
              </w:rPr>
              <w:t>3,7,11,15,19,23,27,31,35,39</w:t>
            </w:r>
          </w:p>
        </w:tc>
        <w:tc>
          <w:tcPr>
            <w:tcW w:w="1020" w:type="dxa"/>
            <w:shd w:val="clear" w:color="auto" w:fill="auto"/>
            <w:vAlign w:val="center"/>
          </w:tcPr>
          <w:p w14:paraId="38F4DD12"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24D1BDB4" w14:textId="77777777" w:rsidR="00021C98" w:rsidRPr="00916F30" w:rsidRDefault="00021C98" w:rsidP="00696E26">
            <w:pPr>
              <w:pStyle w:val="TAC"/>
              <w:rPr>
                <w:rFonts w:eastAsia="Batang"/>
              </w:rPr>
            </w:pPr>
            <w:r w:rsidRPr="00916F30">
              <w:rPr>
                <w:rFonts w:eastAsia="Batang"/>
              </w:rPr>
              <w:t>1</w:t>
            </w:r>
          </w:p>
        </w:tc>
        <w:tc>
          <w:tcPr>
            <w:tcW w:w="1134" w:type="dxa"/>
          </w:tcPr>
          <w:p w14:paraId="1D6764C8" w14:textId="77777777" w:rsidR="00021C98" w:rsidRPr="00916F30" w:rsidRDefault="00021C98" w:rsidP="00696E26">
            <w:pPr>
              <w:pStyle w:val="TAC"/>
              <w:rPr>
                <w:rFonts w:eastAsia="Batang"/>
              </w:rPr>
            </w:pPr>
            <w:r w:rsidRPr="00916F30">
              <w:rPr>
                <w:rFonts w:eastAsia="Batang"/>
              </w:rPr>
              <w:t>2</w:t>
            </w:r>
          </w:p>
        </w:tc>
        <w:tc>
          <w:tcPr>
            <w:tcW w:w="981" w:type="dxa"/>
          </w:tcPr>
          <w:p w14:paraId="2291FD96" w14:textId="77777777" w:rsidR="00021C98" w:rsidRPr="00916F30" w:rsidRDefault="00021C98" w:rsidP="00696E26">
            <w:pPr>
              <w:pStyle w:val="TAC"/>
              <w:rPr>
                <w:rFonts w:eastAsia="Batang"/>
              </w:rPr>
            </w:pPr>
            <w:r w:rsidRPr="00916F30">
              <w:rPr>
                <w:rFonts w:eastAsia="Batang"/>
              </w:rPr>
              <w:t>6</w:t>
            </w:r>
          </w:p>
        </w:tc>
      </w:tr>
      <w:tr w:rsidR="00021C98" w:rsidRPr="00916F30" w14:paraId="096491E3" w14:textId="77777777" w:rsidTr="00696E26">
        <w:tc>
          <w:tcPr>
            <w:tcW w:w="988" w:type="dxa"/>
            <w:shd w:val="clear" w:color="auto" w:fill="auto"/>
            <w:vAlign w:val="center"/>
          </w:tcPr>
          <w:p w14:paraId="6293B149" w14:textId="77777777" w:rsidR="00021C98" w:rsidRPr="00916F30" w:rsidRDefault="00021C98" w:rsidP="00696E26">
            <w:pPr>
              <w:pStyle w:val="TAC"/>
              <w:rPr>
                <w:rFonts w:eastAsia="Batang"/>
              </w:rPr>
            </w:pPr>
            <w:r w:rsidRPr="00916F30">
              <w:rPr>
                <w:rFonts w:eastAsia="Batang"/>
              </w:rPr>
              <w:t>70</w:t>
            </w:r>
          </w:p>
        </w:tc>
        <w:tc>
          <w:tcPr>
            <w:tcW w:w="1134" w:type="dxa"/>
            <w:shd w:val="clear" w:color="auto" w:fill="auto"/>
          </w:tcPr>
          <w:p w14:paraId="5705255E"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7B777DE8"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322629AA"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7D192650" w14:textId="77777777" w:rsidR="00021C98" w:rsidRPr="00916F30" w:rsidRDefault="00021C98" w:rsidP="00696E26">
            <w:pPr>
              <w:pStyle w:val="TAC"/>
              <w:rPr>
                <w:rFonts w:eastAsia="Batang"/>
              </w:rPr>
            </w:pPr>
            <w:r w:rsidRPr="00916F30">
              <w:rPr>
                <w:rFonts w:eastAsia="Batang"/>
              </w:rPr>
              <w:t>19,39</w:t>
            </w:r>
          </w:p>
        </w:tc>
        <w:tc>
          <w:tcPr>
            <w:tcW w:w="1020" w:type="dxa"/>
            <w:shd w:val="clear" w:color="auto" w:fill="auto"/>
            <w:vAlign w:val="center"/>
          </w:tcPr>
          <w:p w14:paraId="48DFB6CF" w14:textId="77777777" w:rsidR="00021C98" w:rsidRPr="00916F30" w:rsidRDefault="00021C98" w:rsidP="00696E26">
            <w:pPr>
              <w:pStyle w:val="TAC"/>
              <w:rPr>
                <w:rFonts w:eastAsia="Batang"/>
              </w:rPr>
            </w:pPr>
            <w:r w:rsidRPr="00916F30">
              <w:rPr>
                <w:rFonts w:eastAsia="Batang"/>
              </w:rPr>
              <w:t>7</w:t>
            </w:r>
          </w:p>
        </w:tc>
        <w:tc>
          <w:tcPr>
            <w:tcW w:w="992" w:type="dxa"/>
            <w:vAlign w:val="center"/>
          </w:tcPr>
          <w:p w14:paraId="497504D5"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29472CDB" w14:textId="77777777" w:rsidR="00021C98" w:rsidRPr="00916F30" w:rsidRDefault="00021C98" w:rsidP="00696E26">
            <w:pPr>
              <w:pStyle w:val="TAC"/>
              <w:rPr>
                <w:rFonts w:eastAsia="Batang"/>
              </w:rPr>
            </w:pPr>
            <w:r w:rsidRPr="00916F30">
              <w:rPr>
                <w:rFonts w:eastAsia="Batang"/>
              </w:rPr>
              <w:t>1</w:t>
            </w:r>
          </w:p>
        </w:tc>
        <w:tc>
          <w:tcPr>
            <w:tcW w:w="981" w:type="dxa"/>
          </w:tcPr>
          <w:p w14:paraId="2A90A05B" w14:textId="77777777" w:rsidR="00021C98" w:rsidRPr="00916F30" w:rsidRDefault="00021C98" w:rsidP="00696E26">
            <w:pPr>
              <w:pStyle w:val="TAC"/>
              <w:rPr>
                <w:rFonts w:eastAsia="Batang"/>
              </w:rPr>
            </w:pPr>
            <w:r w:rsidRPr="00916F30">
              <w:rPr>
                <w:rFonts w:eastAsia="Batang"/>
              </w:rPr>
              <w:t>6</w:t>
            </w:r>
          </w:p>
        </w:tc>
      </w:tr>
      <w:tr w:rsidR="00021C98" w:rsidRPr="00916F30" w14:paraId="4C4F9F02" w14:textId="77777777" w:rsidTr="00696E26">
        <w:tc>
          <w:tcPr>
            <w:tcW w:w="988" w:type="dxa"/>
            <w:shd w:val="clear" w:color="auto" w:fill="auto"/>
            <w:vAlign w:val="center"/>
          </w:tcPr>
          <w:p w14:paraId="723D683C" w14:textId="77777777" w:rsidR="00021C98" w:rsidRPr="00916F30" w:rsidRDefault="00021C98" w:rsidP="00696E26">
            <w:pPr>
              <w:pStyle w:val="TAC"/>
              <w:rPr>
                <w:rFonts w:eastAsia="Batang"/>
              </w:rPr>
            </w:pPr>
            <w:r w:rsidRPr="00916F30">
              <w:rPr>
                <w:rFonts w:eastAsia="Batang"/>
              </w:rPr>
              <w:t>71</w:t>
            </w:r>
          </w:p>
        </w:tc>
        <w:tc>
          <w:tcPr>
            <w:tcW w:w="1134" w:type="dxa"/>
            <w:shd w:val="clear" w:color="auto" w:fill="auto"/>
          </w:tcPr>
          <w:p w14:paraId="38D4BD88"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5477EE6F"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180304F9"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46E28678" w14:textId="77777777" w:rsidR="00021C98" w:rsidRPr="00916F30" w:rsidRDefault="00021C98" w:rsidP="00696E26">
            <w:pPr>
              <w:pStyle w:val="TAC"/>
              <w:rPr>
                <w:rFonts w:eastAsia="Batang"/>
              </w:rPr>
            </w:pPr>
            <w:r w:rsidRPr="00916F30">
              <w:rPr>
                <w:rFonts w:eastAsia="Batang"/>
              </w:rPr>
              <w:t>3,5,7</w:t>
            </w:r>
          </w:p>
        </w:tc>
        <w:tc>
          <w:tcPr>
            <w:tcW w:w="1020" w:type="dxa"/>
            <w:shd w:val="clear" w:color="auto" w:fill="auto"/>
            <w:vAlign w:val="center"/>
          </w:tcPr>
          <w:p w14:paraId="7B4D8467" w14:textId="77777777" w:rsidR="00021C98" w:rsidRPr="00916F30" w:rsidRDefault="00021C98" w:rsidP="00696E26">
            <w:pPr>
              <w:pStyle w:val="TAC"/>
              <w:rPr>
                <w:rFonts w:eastAsia="Batang"/>
              </w:rPr>
            </w:pPr>
            <w:r w:rsidRPr="00916F30">
              <w:rPr>
                <w:rFonts w:eastAsia="Batang"/>
              </w:rPr>
              <w:t>0</w:t>
            </w:r>
          </w:p>
        </w:tc>
        <w:tc>
          <w:tcPr>
            <w:tcW w:w="992" w:type="dxa"/>
          </w:tcPr>
          <w:p w14:paraId="67DD6950"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341E12AE" w14:textId="77777777" w:rsidR="00021C98" w:rsidRPr="00916F30" w:rsidRDefault="00021C98" w:rsidP="00696E26">
            <w:pPr>
              <w:pStyle w:val="TAC"/>
              <w:rPr>
                <w:rFonts w:eastAsia="Batang"/>
              </w:rPr>
            </w:pPr>
            <w:r w:rsidRPr="00916F30">
              <w:rPr>
                <w:rFonts w:eastAsia="Batang"/>
              </w:rPr>
              <w:t>2</w:t>
            </w:r>
          </w:p>
        </w:tc>
        <w:tc>
          <w:tcPr>
            <w:tcW w:w="981" w:type="dxa"/>
          </w:tcPr>
          <w:p w14:paraId="00BF7747" w14:textId="77777777" w:rsidR="00021C98" w:rsidRPr="00916F30" w:rsidRDefault="00021C98" w:rsidP="00696E26">
            <w:pPr>
              <w:pStyle w:val="TAC"/>
              <w:rPr>
                <w:rFonts w:eastAsia="Batang"/>
              </w:rPr>
            </w:pPr>
            <w:r w:rsidRPr="00916F30">
              <w:rPr>
                <w:rFonts w:eastAsia="Batang"/>
              </w:rPr>
              <w:t>6</w:t>
            </w:r>
          </w:p>
        </w:tc>
      </w:tr>
    </w:tbl>
    <w:p w14:paraId="600C5B6E" w14:textId="551C737C" w:rsidR="00645C26" w:rsidRPr="005C5033" w:rsidRDefault="00645C26" w:rsidP="00FD1284">
      <w:pPr>
        <w:pStyle w:val="B1"/>
        <w:spacing w:after="0"/>
        <w:ind w:left="0" w:firstLine="0"/>
        <w:rPr>
          <w:rFonts w:ascii="Arial" w:eastAsia="DengXian" w:hAnsi="Arial" w:cs="Arial"/>
          <w:szCs w:val="20"/>
          <w:lang w:eastAsia="ko-KR"/>
        </w:rPr>
      </w:pPr>
    </w:p>
    <w:p w14:paraId="2F1FA01A" w14:textId="77777777" w:rsidR="00021C98" w:rsidRPr="005C5033" w:rsidRDefault="00021C98" w:rsidP="00FD1284">
      <w:pPr>
        <w:pStyle w:val="B1"/>
        <w:spacing w:after="0"/>
        <w:ind w:left="0" w:firstLine="0"/>
        <w:rPr>
          <w:rFonts w:ascii="Arial" w:eastAsia="DengXian" w:hAnsi="Arial" w:cs="Arial"/>
          <w:szCs w:val="20"/>
          <w:lang w:eastAsia="ko-KR"/>
        </w:rPr>
      </w:pPr>
    </w:p>
    <w:p w14:paraId="3F8744CC" w14:textId="6EEBA649"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The design of the FR2 PRACH configuration table is intimately linked to the ratio between the duration</w:t>
      </w:r>
      <w:r w:rsidR="00E82B2C" w:rsidRPr="005C5033">
        <w:rPr>
          <w:rFonts w:ascii="Arial" w:eastAsia="DengXian" w:hAnsi="Arial" w:cs="Arial"/>
          <w:szCs w:val="20"/>
          <w:lang w:eastAsia="ko-KR"/>
        </w:rPr>
        <w:t>s</w:t>
      </w:r>
      <w:r w:rsidRPr="005C5033">
        <w:rPr>
          <w:rFonts w:ascii="Arial" w:eastAsia="DengXian" w:hAnsi="Arial" w:cs="Arial"/>
          <w:szCs w:val="20"/>
          <w:lang w:eastAsia="ko-KR"/>
        </w:rPr>
        <w:t xml:space="preserve"> of a system frame and a </w:t>
      </w:r>
      <w:r w:rsidR="00FC650E" w:rsidRPr="005C5033">
        <w:rPr>
          <w:rFonts w:ascii="Arial" w:eastAsia="DengXian" w:hAnsi="Arial" w:cs="Arial"/>
          <w:i/>
          <w:iCs/>
          <w:szCs w:val="20"/>
          <w:lang w:eastAsia="ko-KR"/>
        </w:rPr>
        <w:t>reference</w:t>
      </w:r>
      <w:r w:rsidR="00FC650E">
        <w:rPr>
          <w:rFonts w:ascii="Arial" w:eastAsia="DengXian" w:hAnsi="Arial" w:cs="Arial"/>
          <w:szCs w:val="20"/>
          <w:lang w:eastAsia="ko-KR"/>
        </w:rPr>
        <w:t xml:space="preserve">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slot. Specifically, the “Slot number” </w:t>
      </w:r>
      <w:r w:rsidR="001122E8" w:rsidRPr="005C5033">
        <w:rPr>
          <w:rFonts w:ascii="Arial" w:eastAsia="DengXian" w:hAnsi="Arial" w:cs="Arial"/>
          <w:szCs w:val="20"/>
          <w:lang w:eastAsia="ko-KR"/>
        </w:rPr>
        <w:t xml:space="preserve">column </w:t>
      </w:r>
      <w:r w:rsidRPr="005C5033">
        <w:rPr>
          <w:rFonts w:ascii="Arial" w:eastAsia="DengXian" w:hAnsi="Arial" w:cs="Arial"/>
          <w:szCs w:val="20"/>
          <w:lang w:eastAsia="ko-KR"/>
        </w:rPr>
        <w:t xml:space="preserve">refers to 60 kHz reference slots, </w:t>
      </w:r>
      <w:r w:rsidR="00E82B2C" w:rsidRPr="005C5033">
        <w:rPr>
          <w:rFonts w:ascii="Arial" w:eastAsia="DengXian" w:hAnsi="Arial" w:cs="Arial"/>
          <w:szCs w:val="20"/>
          <w:lang w:eastAsia="ko-KR"/>
        </w:rPr>
        <w:t>and since</w:t>
      </w:r>
      <w:r w:rsidRPr="005C5033">
        <w:rPr>
          <w:rFonts w:ascii="Arial" w:eastAsia="DengXian" w:hAnsi="Arial" w:cs="Arial"/>
          <w:szCs w:val="20"/>
          <w:lang w:eastAsia="ko-KR"/>
        </w:rPr>
        <w:t xml:space="preserve"> there are </w:t>
      </w:r>
      <w:r w:rsidR="00E82B2C" w:rsidRPr="005C5033">
        <w:rPr>
          <w:rFonts w:ascii="Arial" w:eastAsia="DengXian" w:hAnsi="Arial" w:cs="Arial"/>
          <w:szCs w:val="20"/>
          <w:lang w:eastAsia="ko-KR"/>
        </w:rPr>
        <w:t xml:space="preserve">forty 60 kHz slots </w:t>
      </w:r>
      <w:r w:rsidRPr="005C5033">
        <w:rPr>
          <w:rFonts w:ascii="Arial" w:eastAsia="DengXian" w:hAnsi="Arial" w:cs="Arial"/>
          <w:szCs w:val="20"/>
          <w:lang w:eastAsia="ko-KR"/>
        </w:rPr>
        <w:t>in a system frame, the listed slot numbers rang</w:t>
      </w:r>
      <w:r w:rsidR="00E82B2C" w:rsidRPr="005C5033">
        <w:rPr>
          <w:rFonts w:ascii="Arial" w:eastAsia="DengXian" w:hAnsi="Arial" w:cs="Arial"/>
          <w:szCs w:val="20"/>
          <w:lang w:eastAsia="ko-KR"/>
        </w:rPr>
        <w:t>e</w:t>
      </w:r>
      <w:r w:rsidRPr="005C5033">
        <w:rPr>
          <w:rFonts w:ascii="Arial" w:eastAsia="DengXian" w:hAnsi="Arial" w:cs="Arial"/>
          <w:szCs w:val="20"/>
          <w:lang w:eastAsia="ko-KR"/>
        </w:rPr>
        <w:t xml:space="preserve"> up to at most 39. </w:t>
      </w:r>
      <w:r w:rsidR="0006465C">
        <w:rPr>
          <w:rFonts w:ascii="Arial" w:eastAsia="DengXian" w:hAnsi="Arial" w:cs="Arial"/>
          <w:szCs w:val="20"/>
          <w:lang w:eastAsia="ko-KR"/>
        </w:rPr>
        <w:t>If</w:t>
      </w:r>
      <w:r>
        <w:rPr>
          <w:rFonts w:ascii="Arial" w:eastAsia="DengXian" w:hAnsi="Arial" w:cs="Arial"/>
          <w:szCs w:val="20"/>
          <w:lang w:eastAsia="ko-KR"/>
        </w:rPr>
        <w:t xml:space="preserve"> a</w:t>
      </w:r>
      <w:r w:rsidRPr="005C5033">
        <w:rPr>
          <w:rFonts w:ascii="Arial" w:eastAsia="DengXian" w:hAnsi="Arial" w:cs="Arial"/>
          <w:szCs w:val="20"/>
          <w:lang w:eastAsia="ko-KR"/>
        </w:rPr>
        <w:t xml:space="preserve"> larger SCS </w:t>
      </w:r>
      <w:r w:rsidR="0006465C">
        <w:rPr>
          <w:rFonts w:ascii="Arial" w:eastAsia="DengXian" w:hAnsi="Arial" w:cs="Arial"/>
          <w:szCs w:val="20"/>
          <w:lang w:eastAsia="ko-KR"/>
        </w:rPr>
        <w:t xml:space="preserve">was defined </w:t>
      </w:r>
      <w:r w:rsidRPr="005C5033">
        <w:rPr>
          <w:rFonts w:ascii="Arial" w:eastAsia="DengXian" w:hAnsi="Arial" w:cs="Arial"/>
          <w:szCs w:val="20"/>
          <w:lang w:eastAsia="ko-KR"/>
        </w:rPr>
        <w:t>for the reference slots</w:t>
      </w:r>
      <w:r w:rsidR="00F010E9">
        <w:rPr>
          <w:rFonts w:ascii="Arial" w:eastAsia="DengXian" w:hAnsi="Arial" w:cs="Arial"/>
          <w:szCs w:val="20"/>
          <w:lang w:eastAsia="ko-KR"/>
        </w:rPr>
        <w:t xml:space="preserve"> instead</w:t>
      </w:r>
      <w:r w:rsidRPr="005C5033">
        <w:rPr>
          <w:rFonts w:ascii="Arial" w:eastAsia="DengXian" w:hAnsi="Arial" w:cs="Arial"/>
          <w:szCs w:val="20"/>
          <w:lang w:eastAsia="ko-KR"/>
        </w:rPr>
        <w:t xml:space="preserve">, these slot ranges would no longer be appropriate, </w:t>
      </w:r>
      <w:r w:rsidR="00100ED4" w:rsidRPr="005C5033">
        <w:rPr>
          <w:rFonts w:ascii="Arial" w:eastAsia="DengXian" w:hAnsi="Arial" w:cs="Arial"/>
          <w:szCs w:val="20"/>
          <w:lang w:eastAsia="ko-KR"/>
        </w:rPr>
        <w:t>because</w:t>
      </w:r>
      <w:r w:rsidRPr="005C5033">
        <w:rPr>
          <w:rFonts w:ascii="Arial" w:eastAsia="DengXian" w:hAnsi="Arial" w:cs="Arial"/>
          <w:szCs w:val="20"/>
          <w:lang w:eastAsia="ko-KR"/>
        </w:rPr>
        <w:t xml:space="preserve"> they would not span a system frame</w:t>
      </w:r>
      <w:r>
        <w:rPr>
          <w:rFonts w:ascii="Arial" w:eastAsia="DengXian" w:hAnsi="Arial" w:cs="Arial"/>
          <w:szCs w:val="20"/>
          <w:lang w:eastAsia="ko-KR"/>
        </w:rPr>
        <w:t xml:space="preserve">, </w:t>
      </w:r>
      <w:r w:rsidR="00FC650E">
        <w:rPr>
          <w:rFonts w:ascii="Arial" w:eastAsia="DengXian" w:hAnsi="Arial" w:cs="Arial"/>
          <w:szCs w:val="20"/>
          <w:lang w:eastAsia="ko-KR"/>
        </w:rPr>
        <w:t xml:space="preserve">thus </w:t>
      </w:r>
      <w:r w:rsidR="00CA4EC7">
        <w:rPr>
          <w:rFonts w:ascii="Arial" w:eastAsia="DengXian" w:hAnsi="Arial" w:cs="Arial"/>
          <w:szCs w:val="20"/>
          <w:lang w:eastAsia="ko-KR"/>
        </w:rPr>
        <w:t>requiring changes to the table to avoid incurring undesirable additional latency</w:t>
      </w:r>
      <w:r w:rsidRPr="005C5033">
        <w:rPr>
          <w:rFonts w:ascii="Arial" w:eastAsia="DengXian" w:hAnsi="Arial" w:cs="Arial"/>
          <w:szCs w:val="20"/>
          <w:lang w:eastAsia="ko-KR"/>
        </w:rPr>
        <w:t xml:space="preserve">. Therefore,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directly reuse the FR2 PRACH configuration table, the reference slot SCS should remain </w:t>
      </w:r>
      <w:r w:rsidR="0006465C">
        <w:rPr>
          <w:rFonts w:ascii="Arial" w:eastAsia="DengXian" w:hAnsi="Arial" w:cs="Arial"/>
          <w:szCs w:val="20"/>
          <w:lang w:eastAsia="ko-KR"/>
        </w:rPr>
        <w:t xml:space="preserve">as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w:t>
      </w:r>
      <w:r w:rsidR="0006465C">
        <w:rPr>
          <w:rFonts w:ascii="Arial" w:eastAsia="DengXian" w:hAnsi="Arial" w:cs="Arial"/>
          <w:szCs w:val="20"/>
          <w:lang w:eastAsia="ko-KR"/>
        </w:rPr>
        <w:t>for supporting</w:t>
      </w:r>
      <w:r w:rsidRPr="005C5033">
        <w:rPr>
          <w:rFonts w:ascii="Arial" w:eastAsia="DengXian" w:hAnsi="Arial" w:cs="Arial"/>
          <w:szCs w:val="20"/>
          <w:lang w:eastAsia="ko-KR"/>
        </w:rPr>
        <w:t xml:space="preserve"> </w:t>
      </w:r>
      <w:r w:rsidR="0006465C">
        <w:rPr>
          <w:rFonts w:ascii="Arial" w:eastAsia="DengXian" w:hAnsi="Arial" w:cs="Arial"/>
          <w:szCs w:val="20"/>
          <w:lang w:eastAsia="ko-KR"/>
        </w:rPr>
        <w:t>PRACH with 480/960</w:t>
      </w:r>
      <w:r w:rsidR="00F24AC5">
        <w:rPr>
          <w:rFonts w:ascii="Arial" w:eastAsia="DengXian" w:hAnsi="Arial" w:cs="Arial"/>
          <w:szCs w:val="20"/>
          <w:lang w:eastAsia="ko-KR"/>
        </w:rPr>
        <w:t> </w:t>
      </w:r>
      <w:r w:rsidR="0006465C">
        <w:rPr>
          <w:rFonts w:ascii="Arial" w:eastAsia="DengXian" w:hAnsi="Arial" w:cs="Arial"/>
          <w:szCs w:val="20"/>
          <w:lang w:eastAsia="ko-KR"/>
        </w:rPr>
        <w:t>kHz SCS</w:t>
      </w:r>
      <w:r w:rsidRPr="005C5033">
        <w:rPr>
          <w:rFonts w:ascii="Arial" w:eastAsia="DengXian" w:hAnsi="Arial" w:cs="Arial"/>
          <w:szCs w:val="20"/>
          <w:lang w:eastAsia="ko-KR"/>
        </w:rPr>
        <w:t>.</w:t>
      </w:r>
      <w:r w:rsidR="00FA487B">
        <w:rPr>
          <w:rFonts w:ascii="Arial" w:eastAsia="DengXian" w:hAnsi="Arial" w:cs="Arial"/>
          <w:szCs w:val="20"/>
          <w:lang w:eastAsia="ko-KR"/>
        </w:rPr>
        <w:t xml:space="preserve"> In the following discussion we demonstrate how this may be done while maintaining configuration flexibility</w:t>
      </w:r>
      <w:r w:rsidR="00B04B4C">
        <w:rPr>
          <w:rFonts w:ascii="Arial" w:eastAsia="DengXian" w:hAnsi="Arial" w:cs="Arial"/>
          <w:szCs w:val="20"/>
          <w:lang w:eastAsia="ko-KR"/>
        </w:rPr>
        <w:t xml:space="preserve"> and avoiding increases in latency.</w:t>
      </w:r>
    </w:p>
    <w:p w14:paraId="2D27FB05" w14:textId="71D5C73B" w:rsidR="00645C26" w:rsidRPr="005C5033" w:rsidRDefault="00645C26" w:rsidP="00FD1284">
      <w:pPr>
        <w:pStyle w:val="B1"/>
        <w:spacing w:after="0"/>
        <w:ind w:left="0" w:firstLine="0"/>
        <w:rPr>
          <w:rFonts w:ascii="Arial" w:eastAsia="DengXian" w:hAnsi="Arial" w:cs="Arial"/>
          <w:szCs w:val="20"/>
          <w:lang w:eastAsia="ko-KR"/>
        </w:rPr>
      </w:pPr>
    </w:p>
    <w:p w14:paraId="17880283" w14:textId="28DAC131" w:rsidR="00645C26" w:rsidRPr="005C5033" w:rsidRDefault="00EC74AE"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In FR2, t</w:t>
      </w:r>
      <w:r w:rsidR="00645C26" w:rsidRPr="005C5033">
        <w:rPr>
          <w:rFonts w:ascii="Arial" w:eastAsia="DengXian" w:hAnsi="Arial" w:cs="Arial"/>
          <w:szCs w:val="20"/>
          <w:lang w:eastAsia="ko-KR"/>
        </w:rPr>
        <w:t>he number of PRACH slots (</w:t>
      </w:r>
      <w:r w:rsidRPr="005C5033">
        <w:rPr>
          <w:rFonts w:ascii="Arial" w:eastAsia="DengXian" w:hAnsi="Arial" w:cs="Arial"/>
          <w:szCs w:val="20"/>
          <w:lang w:eastAsia="ko-KR"/>
        </w:rPr>
        <w:t>60/</w:t>
      </w:r>
      <w:r w:rsidR="00645C26" w:rsidRPr="005C5033">
        <w:rPr>
          <w:rFonts w:ascii="Arial" w:eastAsia="DengXian" w:hAnsi="Arial" w:cs="Arial"/>
          <w:szCs w:val="20"/>
          <w:lang w:eastAsia="ko-KR"/>
        </w:rPr>
        <w:t>120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Pr="005C5033">
        <w:rPr>
          <w:rFonts w:ascii="Arial" w:eastAsia="DengXian" w:hAnsi="Arial" w:cs="Arial"/>
          <w:szCs w:val="20"/>
          <w:lang w:eastAsia="ko-KR"/>
        </w:rPr>
        <w:t xml:space="preserve"> SCS</w:t>
      </w:r>
      <w:r w:rsidR="00645C26" w:rsidRPr="005C5033">
        <w:rPr>
          <w:rFonts w:ascii="Arial" w:eastAsia="DengXian" w:hAnsi="Arial" w:cs="Arial"/>
          <w:szCs w:val="20"/>
          <w:lang w:eastAsia="ko-KR"/>
        </w:rPr>
        <w:t>)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reference slot is always 1 or 2</w:t>
      </w:r>
      <w:r w:rsidRPr="005C5033">
        <w:rPr>
          <w:rFonts w:ascii="Arial" w:eastAsia="DengXian" w:hAnsi="Arial" w:cs="Arial"/>
          <w:szCs w:val="20"/>
          <w:lang w:eastAsia="ko-KR"/>
        </w:rPr>
        <w:t>,</w:t>
      </w:r>
      <w:r w:rsidR="00645C26" w:rsidRPr="005C5033">
        <w:rPr>
          <w:rFonts w:ascii="Arial" w:eastAsia="DengXian" w:hAnsi="Arial" w:cs="Arial"/>
          <w:szCs w:val="20"/>
          <w:lang w:eastAsia="ko-KR"/>
        </w:rPr>
        <w:t xml:space="preserve"> as reflected in the table column “Number of PRACH slots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slot”. As discussed above, in order not to increase the PRACH processing load beyond the load with 120</w:t>
      </w:r>
      <w:r w:rsidR="00512A04" w:rsidRPr="005C5033">
        <w:rPr>
          <w:rFonts w:ascii="Arial" w:eastAsia="DengXian" w:hAnsi="Arial" w:cs="Arial"/>
          <w:szCs w:val="20"/>
          <w:lang w:eastAsia="ko-KR"/>
        </w:rPr>
        <w:t> </w:t>
      </w:r>
      <w:r w:rsidR="00645C26" w:rsidRPr="005C5033">
        <w:rPr>
          <w:rFonts w:ascii="Arial" w:eastAsia="DengXian" w:hAnsi="Arial" w:cs="Arial"/>
          <w:szCs w:val="20"/>
          <w:lang w:eastAsia="ko-KR"/>
        </w:rPr>
        <w:t>kHz SCS</w:t>
      </w:r>
      <w:r w:rsidR="0006465C">
        <w:rPr>
          <w:rFonts w:ascii="Arial" w:eastAsia="DengXian" w:hAnsi="Arial" w:cs="Arial"/>
          <w:szCs w:val="20"/>
          <w:lang w:eastAsia="ko-KR"/>
        </w:rPr>
        <w:t xml:space="preserve"> PRACH</w:t>
      </w:r>
      <w:r w:rsidR="00645C26" w:rsidRPr="005C5033">
        <w:rPr>
          <w:rFonts w:ascii="Arial" w:eastAsia="DengXian" w:hAnsi="Arial" w:cs="Arial"/>
          <w:szCs w:val="20"/>
          <w:lang w:eastAsia="ko-KR"/>
        </w:rPr>
        <w:t xml:space="preserve">, there should still be a maximum of 2 slots used for </w:t>
      </w:r>
      <w:r w:rsidR="0006465C">
        <w:rPr>
          <w:rFonts w:ascii="Arial" w:eastAsia="DengXian" w:hAnsi="Arial" w:cs="Arial"/>
          <w:szCs w:val="20"/>
          <w:lang w:eastAsia="ko-KR"/>
        </w:rPr>
        <w:t xml:space="preserve">480/960 kHz </w:t>
      </w:r>
      <w:r w:rsidR="00645C26" w:rsidRPr="005C5033">
        <w:rPr>
          <w:rFonts w:ascii="Arial" w:eastAsia="DengXian" w:hAnsi="Arial" w:cs="Arial"/>
          <w:szCs w:val="20"/>
          <w:lang w:eastAsia="ko-KR"/>
        </w:rPr>
        <w:t>PRACH within a</w:t>
      </w:r>
      <w:r w:rsidR="007E66C1" w:rsidRPr="005C5033">
        <w:rPr>
          <w:rFonts w:ascii="Arial" w:eastAsia="DengXian" w:hAnsi="Arial" w:cs="Arial"/>
          <w:szCs w:val="20"/>
          <w:lang w:eastAsia="ko-KR"/>
        </w:rPr>
        <w:t>ny</w:t>
      </w:r>
      <w:r w:rsidR="00645C26" w:rsidRPr="005C5033">
        <w:rPr>
          <w:rFonts w:ascii="Arial" w:eastAsia="DengXian" w:hAnsi="Arial" w:cs="Arial"/>
          <w:szCs w:val="20"/>
          <w:lang w:eastAsia="ko-KR"/>
        </w:rPr>
        <w:t xml:space="preserve">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007E66C1" w:rsidRPr="005C5033">
        <w:rPr>
          <w:rFonts w:ascii="Arial" w:eastAsia="DengXian" w:hAnsi="Arial" w:cs="Arial"/>
          <w:szCs w:val="20"/>
          <w:lang w:eastAsia="ko-KR"/>
        </w:rPr>
        <w:t xml:space="preserve"> reference</w:t>
      </w:r>
      <w:r w:rsidR="00645C26" w:rsidRPr="005C5033">
        <w:rPr>
          <w:rFonts w:ascii="Arial" w:eastAsia="DengXian" w:hAnsi="Arial" w:cs="Arial"/>
          <w:szCs w:val="20"/>
          <w:lang w:eastAsia="ko-KR"/>
        </w:rPr>
        <w:t xml:space="preserve"> slot. For Rel-15/16 FR2, which </w:t>
      </w:r>
      <w:r w:rsidR="00376A80" w:rsidRPr="005C5033">
        <w:rPr>
          <w:rFonts w:ascii="Arial" w:eastAsia="DengXian" w:hAnsi="Arial" w:cs="Arial"/>
          <w:szCs w:val="20"/>
          <w:lang w:eastAsia="ko-KR"/>
        </w:rPr>
        <w:t xml:space="preserve">1 or 2 </w:t>
      </w:r>
      <w:r w:rsidR="00645C26" w:rsidRPr="005C5033">
        <w:rPr>
          <w:rFonts w:ascii="Arial" w:eastAsia="DengXian" w:hAnsi="Arial" w:cs="Arial"/>
          <w:szCs w:val="20"/>
          <w:lang w:eastAsia="ko-KR"/>
        </w:rPr>
        <w:t>slot</w:t>
      </w:r>
      <w:r w:rsidR="00376A80" w:rsidRPr="005C5033">
        <w:rPr>
          <w:rFonts w:ascii="Arial" w:eastAsia="DengXian" w:hAnsi="Arial" w:cs="Arial"/>
          <w:szCs w:val="20"/>
          <w:lang w:eastAsia="ko-KR"/>
        </w:rPr>
        <w:t>s</w:t>
      </w:r>
      <w:r w:rsidR="00645C26" w:rsidRPr="005C5033">
        <w:rPr>
          <w:rFonts w:ascii="Arial" w:eastAsia="DengXian" w:hAnsi="Arial" w:cs="Arial"/>
          <w:szCs w:val="20"/>
          <w:lang w:eastAsia="ko-KR"/>
        </w:rPr>
        <w:t xml:space="preserve"> within a 60 kHz </w:t>
      </w:r>
      <w:r w:rsidR="0006465C">
        <w:rPr>
          <w:rFonts w:ascii="Arial" w:eastAsia="DengXian" w:hAnsi="Arial" w:cs="Arial"/>
          <w:szCs w:val="20"/>
          <w:lang w:eastAsia="ko-KR"/>
        </w:rPr>
        <w:t xml:space="preserve">reference </w:t>
      </w:r>
      <w:r w:rsidR="00645C26" w:rsidRPr="005C5033">
        <w:rPr>
          <w:rFonts w:ascii="Arial" w:eastAsia="DengXian" w:hAnsi="Arial" w:cs="Arial"/>
          <w:szCs w:val="20"/>
          <w:lang w:eastAsia="ko-KR"/>
        </w:rPr>
        <w:t xml:space="preserve">slot to use for PRACH </w:t>
      </w:r>
      <w:r w:rsidR="00376A80" w:rsidRPr="005C5033">
        <w:rPr>
          <w:rFonts w:ascii="Arial" w:eastAsia="DengXian" w:hAnsi="Arial" w:cs="Arial"/>
          <w:szCs w:val="20"/>
          <w:lang w:eastAsia="ko-KR"/>
        </w:rPr>
        <w:t>is derived from</w:t>
      </w:r>
      <w:r w:rsidR="00645C26" w:rsidRPr="005C5033">
        <w:rPr>
          <w:rFonts w:ascii="Arial" w:eastAsia="DengXian" w:hAnsi="Arial" w:cs="Arial"/>
          <w:szCs w:val="20"/>
          <w:lang w:eastAsia="ko-KR"/>
        </w:rPr>
        <w:t xml:space="preserve"> </w:t>
      </w:r>
      <w:r w:rsidR="005F3E50" w:rsidRPr="005C5033">
        <w:rPr>
          <w:rFonts w:ascii="Arial" w:eastAsia="DengXian" w:hAnsi="Arial" w:cs="Arial"/>
          <w:szCs w:val="20"/>
          <w:lang w:eastAsia="ko-KR"/>
        </w:rPr>
        <w:t xml:space="preserve">the </w:t>
      </w:r>
      <w:r w:rsidR="0006465C">
        <w:rPr>
          <w:rFonts w:ascii="Arial" w:eastAsia="DengXian" w:hAnsi="Arial" w:cs="Arial"/>
          <w:szCs w:val="20"/>
          <w:lang w:eastAsia="ko-KR"/>
        </w:rPr>
        <w:t>configured</w:t>
      </w:r>
      <w:r w:rsidR="00376A80" w:rsidRPr="005C5033">
        <w:rPr>
          <w:rFonts w:ascii="Arial" w:eastAsia="DengXian" w:hAnsi="Arial" w:cs="Arial"/>
          <w:szCs w:val="20"/>
          <w:lang w:eastAsia="ko-KR"/>
        </w:rPr>
        <w:t xml:space="preserve"> PRACH SCS and the </w:t>
      </w:r>
      <w:r w:rsidR="00645C26" w:rsidRPr="005C5033">
        <w:rPr>
          <w:rFonts w:ascii="Arial" w:eastAsia="DengXian" w:hAnsi="Arial" w:cs="Arial"/>
          <w:szCs w:val="20"/>
          <w:lang w:eastAsia="ko-KR"/>
        </w:rPr>
        <w:t xml:space="preserve">value in the </w:t>
      </w:r>
      <w:r w:rsidR="00D32067" w:rsidRPr="005C5033">
        <w:rPr>
          <w:rFonts w:ascii="Arial" w:eastAsia="DengXian" w:hAnsi="Arial" w:cs="Arial"/>
          <w:szCs w:val="20"/>
          <w:lang w:eastAsia="ko-KR"/>
        </w:rPr>
        <w:t xml:space="preserve">table </w:t>
      </w:r>
      <w:r w:rsidR="00645C26" w:rsidRPr="005C5033">
        <w:rPr>
          <w:rFonts w:ascii="Arial" w:eastAsia="DengXian" w:hAnsi="Arial" w:cs="Arial"/>
          <w:szCs w:val="20"/>
          <w:lang w:eastAsia="ko-KR"/>
        </w:rPr>
        <w:t>column “Number of PRACH slots within a 60</w:t>
      </w:r>
      <w:r w:rsidR="001122E8" w:rsidRPr="005C5033">
        <w:rPr>
          <w:rFonts w:ascii="Arial" w:eastAsia="DengXian" w:hAnsi="Arial" w:cs="Arial"/>
          <w:szCs w:val="20"/>
          <w:lang w:eastAsia="ko-KR"/>
        </w:rPr>
        <w:t> </w:t>
      </w:r>
      <w:r w:rsidR="00645C26" w:rsidRPr="005C5033">
        <w:rPr>
          <w:rFonts w:ascii="Arial" w:eastAsia="DengXian" w:hAnsi="Arial" w:cs="Arial"/>
          <w:szCs w:val="20"/>
          <w:lang w:eastAsia="ko-KR"/>
        </w:rPr>
        <w:t>kHz slot”</w:t>
      </w:r>
      <w:r w:rsidR="00CC581B" w:rsidRPr="005C5033">
        <w:rPr>
          <w:rFonts w:ascii="Arial" w:eastAsia="DengXian" w:hAnsi="Arial" w:cs="Arial"/>
          <w:szCs w:val="20"/>
          <w:lang w:eastAsia="ko-KR"/>
        </w:rPr>
        <w:t>.</w:t>
      </w:r>
      <w:r w:rsidR="008E1650"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 xml:space="preserve">According to Section 5.3.2 of 3GPP TS 38.211 </w:t>
      </w:r>
      <w:r w:rsidR="00F325B2" w:rsidRPr="005C5033">
        <w:rPr>
          <w:rFonts w:ascii="Arial" w:eastAsia="DengXian" w:hAnsi="Arial" w:cs="Arial"/>
          <w:szCs w:val="20"/>
          <w:lang w:eastAsia="ko-KR"/>
        </w:rPr>
        <w:fldChar w:fldCharType="begin"/>
      </w:r>
      <w:r w:rsidR="00F325B2" w:rsidRPr="005C5033">
        <w:rPr>
          <w:rFonts w:ascii="Arial" w:eastAsia="DengXian" w:hAnsi="Arial" w:cs="Arial"/>
          <w:szCs w:val="20"/>
          <w:lang w:eastAsia="ko-KR"/>
        </w:rPr>
        <w:instrText xml:space="preserve"> REF _Ref61010403 \r \h </w:instrText>
      </w:r>
      <w:r w:rsidR="00F325B2" w:rsidRPr="005C5033">
        <w:rPr>
          <w:rFonts w:ascii="Arial" w:eastAsia="DengXian" w:hAnsi="Arial" w:cs="Arial"/>
          <w:szCs w:val="20"/>
          <w:lang w:eastAsia="ko-KR"/>
        </w:rPr>
      </w:r>
      <w:r w:rsidR="00F325B2" w:rsidRPr="005C5033">
        <w:rPr>
          <w:rFonts w:ascii="Arial" w:eastAsia="DengXian" w:hAnsi="Arial" w:cs="Arial"/>
          <w:szCs w:val="20"/>
          <w:lang w:eastAsia="ko-KR"/>
        </w:rPr>
        <w:fldChar w:fldCharType="separate"/>
      </w:r>
      <w:r w:rsidR="00F325B2" w:rsidRPr="005C5033">
        <w:rPr>
          <w:rFonts w:ascii="Arial" w:eastAsia="DengXian" w:hAnsi="Arial" w:cs="Arial"/>
          <w:szCs w:val="20"/>
          <w:lang w:eastAsia="ko-KR"/>
        </w:rPr>
        <w:t>[4]</w:t>
      </w:r>
      <w:r w:rsidR="00F325B2" w:rsidRPr="005C5033">
        <w:rPr>
          <w:rFonts w:ascii="Arial" w:eastAsia="DengXian" w:hAnsi="Arial" w:cs="Arial"/>
          <w:szCs w:val="20"/>
          <w:lang w:eastAsia="ko-KR"/>
        </w:rPr>
        <w:fldChar w:fldCharType="end"/>
      </w:r>
      <w:r w:rsidR="00B05B80" w:rsidRPr="005C5033">
        <w:rPr>
          <w:rFonts w:ascii="Arial" w:eastAsia="DengXian" w:hAnsi="Arial" w:cs="Arial"/>
          <w:szCs w:val="20"/>
          <w:lang w:eastAsia="ko-KR"/>
        </w:rPr>
        <w:t>,</w:t>
      </w:r>
      <w:r w:rsidR="00F325B2"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t</w:t>
      </w:r>
      <w:r w:rsidR="008E1650" w:rsidRPr="005C5033">
        <w:rPr>
          <w:rFonts w:ascii="Arial" w:eastAsia="DengXian" w:hAnsi="Arial" w:cs="Arial"/>
          <w:szCs w:val="20"/>
          <w:lang w:eastAsia="ko-KR"/>
        </w:rPr>
        <w:t xml:space="preserve">he </w:t>
      </w:r>
      <w:r w:rsidR="00504FDC" w:rsidRPr="005C5033">
        <w:rPr>
          <w:rFonts w:ascii="Arial" w:eastAsia="DengXian" w:hAnsi="Arial" w:cs="Arial"/>
          <w:szCs w:val="20"/>
          <w:lang w:eastAsia="ko-KR"/>
        </w:rPr>
        <w:t xml:space="preserve">PRACH </w:t>
      </w:r>
      <w:r w:rsidR="008E1650" w:rsidRPr="005C5033">
        <w:rPr>
          <w:rFonts w:ascii="Arial" w:eastAsia="DengXian" w:hAnsi="Arial" w:cs="Arial"/>
          <w:szCs w:val="20"/>
          <w:lang w:eastAsia="ko-KR"/>
        </w:rPr>
        <w:t>slot inde</w:t>
      </w:r>
      <w:r w:rsidR="00504FDC" w:rsidRPr="005C5033">
        <w:rPr>
          <w:rFonts w:ascii="Arial" w:eastAsia="DengXian" w:hAnsi="Arial" w:cs="Arial"/>
          <w:szCs w:val="20"/>
          <w:lang w:eastAsia="ko-KR"/>
        </w:rPr>
        <w:t>x</w:t>
      </w:r>
      <w:r w:rsidR="008E1650" w:rsidRPr="005C5033">
        <w:rPr>
          <w:rFonts w:ascii="Arial" w:eastAsia="DengXian" w:hAnsi="Arial" w:cs="Arial"/>
          <w:szCs w:val="20"/>
          <w:lang w:eastAsia="ko-KR"/>
        </w:rPr>
        <w:t xml:space="preserve"> </w:t>
      </w:r>
      <w:r w:rsidR="00504FDC" w:rsidRPr="00F5624F">
        <w:rPr>
          <w:noProof/>
          <w:position w:val="-10"/>
        </w:rPr>
        <w:drawing>
          <wp:inline distT="0" distB="0" distL="0" distR="0" wp14:anchorId="339EAA37" wp14:editId="68F4E0B6">
            <wp:extent cx="238125" cy="209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504FDC" w:rsidRPr="005C5033">
        <w:rPr>
          <w:rFonts w:ascii="Arial" w:eastAsia="DengXian" w:hAnsi="Arial" w:cs="Arial"/>
          <w:szCs w:val="20"/>
          <w:lang w:eastAsia="ko-KR"/>
        </w:rPr>
        <w:t xml:space="preserve"> </w:t>
      </w:r>
      <w:r w:rsidR="008E1650" w:rsidRPr="005C5033">
        <w:rPr>
          <w:rFonts w:ascii="Arial" w:eastAsia="DengXian" w:hAnsi="Arial" w:cs="Arial"/>
          <w:szCs w:val="20"/>
          <w:lang w:eastAsia="ko-KR"/>
        </w:rPr>
        <w:t>within a 60</w:t>
      </w:r>
      <w:r w:rsidR="00C31050" w:rsidRPr="005C5033">
        <w:rPr>
          <w:rFonts w:ascii="Arial" w:eastAsia="DengXian" w:hAnsi="Arial" w:cs="Arial"/>
          <w:szCs w:val="20"/>
          <w:lang w:eastAsia="ko-KR"/>
        </w:rPr>
        <w:t> </w:t>
      </w:r>
      <w:r w:rsidR="008E1650" w:rsidRPr="005C5033">
        <w:rPr>
          <w:rFonts w:ascii="Arial" w:eastAsia="DengXian" w:hAnsi="Arial" w:cs="Arial"/>
          <w:szCs w:val="20"/>
          <w:lang w:eastAsia="ko-KR"/>
        </w:rPr>
        <w:t xml:space="preserve">kHz slot is </w:t>
      </w:r>
      <w:r w:rsidR="00D32067" w:rsidRPr="005C5033">
        <w:rPr>
          <w:rFonts w:ascii="Arial" w:eastAsia="DengXian" w:hAnsi="Arial" w:cs="Arial"/>
          <w:szCs w:val="20"/>
          <w:lang w:eastAsia="ko-KR"/>
        </w:rPr>
        <w:t>obtained as follows:</w:t>
      </w:r>
    </w:p>
    <w:p w14:paraId="31C202FD" w14:textId="0030C249" w:rsidR="00645C26" w:rsidRPr="00184903" w:rsidRDefault="00645C26" w:rsidP="00645C26">
      <w:pPr>
        <w:pStyle w:val="B2"/>
      </w:pPr>
      <w:r>
        <w:t>-</w:t>
      </w:r>
      <w:r>
        <w:tab/>
      </w:r>
      <w:r w:rsidRPr="00184903">
        <w:t xml:space="preserve">if </w:t>
      </w:r>
      <w:r w:rsidRPr="005C5033">
        <w:rPr>
          <w:noProof/>
          <w:position w:val="-12"/>
        </w:rPr>
        <w:drawing>
          <wp:inline distT="0" distB="0" distL="0" distR="0" wp14:anchorId="74A34DCE" wp14:editId="26FE2DD3">
            <wp:extent cx="14763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184903">
        <w:t xml:space="preserve">, then </w:t>
      </w:r>
      <w:r w:rsidRPr="005C5033">
        <w:rPr>
          <w:noProof/>
          <w:position w:val="-10"/>
        </w:rPr>
        <w:drawing>
          <wp:inline distT="0" distB="0" distL="0" distR="0" wp14:anchorId="37ECD08C" wp14:editId="2B8B84D5">
            <wp:extent cx="4476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F974C1" w14:textId="45E8A638" w:rsidR="00645C26" w:rsidRPr="00B04B4C" w:rsidRDefault="00645C26" w:rsidP="00645C26">
      <w:pPr>
        <w:pStyle w:val="B2"/>
        <w:rPr>
          <w:highlight w:val="yellow"/>
        </w:rPr>
      </w:pPr>
      <w:r>
        <w:t>-</w:t>
      </w:r>
      <w:r>
        <w:tab/>
      </w:r>
      <w:r w:rsidRPr="00184903">
        <w:t xml:space="preserve">if </w:t>
      </w:r>
      <w:r w:rsidRPr="005C5033">
        <w:rPr>
          <w:noProof/>
          <w:position w:val="-12"/>
        </w:rPr>
        <w:drawing>
          <wp:inline distT="0" distB="0" distL="0" distR="0" wp14:anchorId="13095651" wp14:editId="412BBC6E">
            <wp:extent cx="11811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rsidRPr="00B04B4C">
        <w:rPr>
          <w:highlight w:val="yellow"/>
        </w:rPr>
        <w:t xml:space="preserve">"Number of PRACH slots within a 60 kHz slot" in Table 6.3.3.2-4 is equal to 1, then </w:t>
      </w:r>
      <w:r w:rsidRPr="00B04B4C">
        <w:rPr>
          <w:noProof/>
          <w:position w:val="-10"/>
          <w:highlight w:val="yellow"/>
        </w:rPr>
        <w:drawing>
          <wp:inline distT="0" distB="0" distL="0" distR="0" wp14:anchorId="68411187" wp14:editId="502991A0">
            <wp:extent cx="4191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F010FF1" w14:textId="7130BFFA" w:rsidR="00645C26" w:rsidRPr="00184903" w:rsidRDefault="00645C26" w:rsidP="00645C26">
      <w:pPr>
        <w:pStyle w:val="B2"/>
      </w:pPr>
      <w:r w:rsidRPr="00B04B4C">
        <w:rPr>
          <w:highlight w:val="yellow"/>
        </w:rPr>
        <w:t>-</w:t>
      </w:r>
      <w:r w:rsidRPr="00B04B4C">
        <w:rPr>
          <w:highlight w:val="yellow"/>
        </w:rPr>
        <w:tab/>
        <w:t xml:space="preserve">otherwise, </w:t>
      </w:r>
      <w:r w:rsidRPr="00B04B4C">
        <w:rPr>
          <w:noProof/>
          <w:position w:val="-12"/>
          <w:highlight w:val="yellow"/>
        </w:rPr>
        <w:drawing>
          <wp:inline distT="0" distB="0" distL="0" distR="0" wp14:anchorId="234A5969" wp14:editId="3DDD6321">
            <wp:extent cx="628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0FF83587" w14:textId="04029B20" w:rsidR="0006465C" w:rsidRDefault="0006465C"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Thus, for 120</w:t>
      </w:r>
      <w:r w:rsidR="00F24AC5">
        <w:rPr>
          <w:rFonts w:ascii="Arial" w:eastAsia="DengXian" w:hAnsi="Arial" w:cs="Arial"/>
          <w:szCs w:val="20"/>
          <w:lang w:eastAsia="ko-KR"/>
        </w:rPr>
        <w:t> </w:t>
      </w:r>
      <w:r>
        <w:rPr>
          <w:rFonts w:ascii="Arial" w:eastAsia="DengXian" w:hAnsi="Arial" w:cs="Arial"/>
          <w:szCs w:val="20"/>
          <w:lang w:eastAsia="ko-KR"/>
        </w:rPr>
        <w:t>kHz PRACH, if only 1 PRACH slot is indicated, then only the 2</w:t>
      </w:r>
      <w:r w:rsidRPr="005C5033">
        <w:rPr>
          <w:rFonts w:ascii="Arial" w:eastAsia="DengXian" w:hAnsi="Arial" w:cs="Arial"/>
          <w:szCs w:val="20"/>
          <w:vertAlign w:val="superscript"/>
          <w:lang w:eastAsia="ko-KR"/>
        </w:rPr>
        <w:t>nd</w:t>
      </w:r>
      <w:r>
        <w:rPr>
          <w:rFonts w:ascii="Arial" w:eastAsia="DengXian" w:hAnsi="Arial" w:cs="Arial"/>
          <w:szCs w:val="20"/>
          <w:lang w:eastAsia="ko-KR"/>
        </w:rPr>
        <w:t xml:space="preserve"> of the two PRACH slots within the reference 60</w:t>
      </w:r>
      <w:r w:rsidR="00F24AC5">
        <w:rPr>
          <w:rFonts w:ascii="Arial" w:eastAsia="DengXian" w:hAnsi="Arial" w:cs="Arial"/>
          <w:szCs w:val="20"/>
          <w:lang w:eastAsia="ko-KR"/>
        </w:rPr>
        <w:t> </w:t>
      </w:r>
      <w:r>
        <w:rPr>
          <w:rFonts w:ascii="Arial" w:eastAsia="DengXian" w:hAnsi="Arial" w:cs="Arial"/>
          <w:szCs w:val="20"/>
          <w:lang w:eastAsia="ko-KR"/>
        </w:rPr>
        <w:t>kHz slot</w:t>
      </w:r>
      <w:r w:rsidR="00EE33CD">
        <w:rPr>
          <w:rFonts w:ascii="Arial" w:eastAsia="DengXian" w:hAnsi="Arial" w:cs="Arial"/>
          <w:szCs w:val="20"/>
          <w:lang w:eastAsia="ko-KR"/>
        </w:rPr>
        <w:t xml:space="preserve"> is used; otherwise both are used.</w:t>
      </w:r>
    </w:p>
    <w:p w14:paraId="6E924446" w14:textId="77777777" w:rsidR="0006465C" w:rsidRDefault="0006465C" w:rsidP="00FD1284">
      <w:pPr>
        <w:pStyle w:val="B1"/>
        <w:spacing w:after="0"/>
        <w:ind w:left="0" w:firstLine="0"/>
        <w:rPr>
          <w:rFonts w:ascii="Arial" w:eastAsia="DengXian" w:hAnsi="Arial" w:cs="Arial"/>
          <w:szCs w:val="20"/>
          <w:lang w:eastAsia="ko-KR"/>
        </w:rPr>
      </w:pPr>
    </w:p>
    <w:p w14:paraId="519044B0" w14:textId="7A1448C1" w:rsidR="00E408EA" w:rsidRDefault="00EE33CD"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For 480/960 kHz, c</w:t>
      </w:r>
      <w:r w:rsidR="00645C26" w:rsidRPr="005C5033">
        <w:rPr>
          <w:rFonts w:ascii="Arial" w:eastAsia="DengXian" w:hAnsi="Arial" w:cs="Arial"/>
          <w:szCs w:val="20"/>
          <w:lang w:eastAsia="ko-KR"/>
        </w:rPr>
        <w:t>orresponding rules for which 1 or 2 slot</w:t>
      </w:r>
      <w:r w:rsidR="00EC74AE" w:rsidRPr="005C5033">
        <w:rPr>
          <w:rFonts w:ascii="Arial" w:eastAsia="DengXian" w:hAnsi="Arial" w:cs="Arial"/>
          <w:szCs w:val="20"/>
          <w:lang w:eastAsia="ko-KR"/>
        </w:rPr>
        <w:t xml:space="preserve">s </w:t>
      </w:r>
      <w:r w:rsidR="00645C26" w:rsidRPr="005C5033">
        <w:rPr>
          <w:rFonts w:ascii="Arial" w:eastAsia="DengXian" w:hAnsi="Arial" w:cs="Arial"/>
          <w:szCs w:val="20"/>
          <w:lang w:eastAsia="ko-KR"/>
        </w:rPr>
        <w:t xml:space="preserve">to use for </w:t>
      </w:r>
      <w:r w:rsidR="00363D67" w:rsidRPr="005C5033">
        <w:rPr>
          <w:rFonts w:ascii="Arial" w:eastAsia="DengXian" w:hAnsi="Arial" w:cs="Arial"/>
          <w:szCs w:val="20"/>
          <w:lang w:eastAsia="ko-KR"/>
        </w:rPr>
        <w:t xml:space="preserve">PRACH </w:t>
      </w:r>
      <w:r w:rsidR="00645C26" w:rsidRPr="005C5033">
        <w:rPr>
          <w:rFonts w:ascii="Arial" w:eastAsia="DengXian" w:hAnsi="Arial" w:cs="Arial"/>
          <w:szCs w:val="20"/>
          <w:lang w:eastAsia="ko-KR"/>
        </w:rPr>
        <w:t xml:space="preserve">must be specified. </w:t>
      </w:r>
      <w:r w:rsidR="009326CE" w:rsidRPr="005C5033">
        <w:rPr>
          <w:rFonts w:ascii="Arial" w:eastAsia="DengXian" w:hAnsi="Arial" w:cs="Arial"/>
          <w:szCs w:val="20"/>
          <w:lang w:eastAsia="ko-KR"/>
        </w:rPr>
        <w:t>P</w:t>
      </w:r>
      <w:r w:rsidR="00645C26" w:rsidRPr="005C5033">
        <w:rPr>
          <w:rFonts w:ascii="Arial" w:eastAsia="DengXian" w:hAnsi="Arial" w:cs="Arial"/>
          <w:szCs w:val="20"/>
          <w:lang w:eastAsia="ko-KR"/>
        </w:rPr>
        <w:t xml:space="preserve">ossible </w:t>
      </w:r>
      <w:r w:rsidR="00AC68B3" w:rsidRPr="005C5033">
        <w:rPr>
          <w:rFonts w:ascii="Arial" w:eastAsia="DengXian" w:hAnsi="Arial" w:cs="Arial"/>
          <w:szCs w:val="20"/>
          <w:lang w:eastAsia="ko-KR"/>
        </w:rPr>
        <w:t>rules for which</w:t>
      </w:r>
      <w:r w:rsidR="00645C26" w:rsidRPr="005C5033">
        <w:rPr>
          <w:rFonts w:ascii="Arial" w:eastAsia="DengXian" w:hAnsi="Arial" w:cs="Arial"/>
          <w:szCs w:val="20"/>
          <w:lang w:eastAsia="ko-KR"/>
        </w:rPr>
        <w:t xml:space="preserve"> </w:t>
      </w:r>
      <w:r w:rsidR="008E6E7F" w:rsidRPr="005C5033">
        <w:rPr>
          <w:rFonts w:ascii="Arial" w:eastAsia="DengXian" w:hAnsi="Arial" w:cs="Arial"/>
          <w:szCs w:val="20"/>
          <w:lang w:eastAsia="ko-KR"/>
        </w:rPr>
        <w:t xml:space="preserve">480/960 kHz </w:t>
      </w:r>
      <w:r w:rsidR="00645C26" w:rsidRPr="005C5033">
        <w:rPr>
          <w:rFonts w:ascii="Arial" w:eastAsia="DengXian" w:hAnsi="Arial" w:cs="Arial"/>
          <w:szCs w:val="20"/>
          <w:lang w:eastAsia="ko-KR"/>
        </w:rPr>
        <w:t>slot</w:t>
      </w:r>
      <w:r w:rsidR="00AC68B3" w:rsidRPr="005C5033">
        <w:rPr>
          <w:rFonts w:ascii="Arial" w:eastAsia="DengXian" w:hAnsi="Arial" w:cs="Arial"/>
          <w:szCs w:val="20"/>
          <w:lang w:eastAsia="ko-KR"/>
        </w:rPr>
        <w:t>s to use when</w:t>
      </w:r>
      <w:r w:rsidR="00645C26" w:rsidRPr="005C5033">
        <w:rPr>
          <w:rFonts w:ascii="Arial" w:eastAsia="DengXian" w:hAnsi="Arial" w:cs="Arial"/>
          <w:szCs w:val="20"/>
          <w:lang w:eastAsia="ko-KR"/>
        </w:rPr>
        <w:t xml:space="preserve"> “Number of PRACH slots within a 60 kHz slot” equals 1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645C26" w:rsidRPr="005C5033">
        <w:rPr>
          <w:rFonts w:ascii="Arial" w:eastAsia="DengXian" w:hAnsi="Arial" w:cs="Arial"/>
          <w:szCs w:val="20"/>
          <w:lang w:eastAsia="ko-KR"/>
        </w:rPr>
        <w:t xml:space="preserve"> in </w:t>
      </w:r>
      <w:r w:rsidR="006A1A3A" w:rsidRPr="00AE7767">
        <w:rPr>
          <w:rFonts w:ascii="Arial" w:eastAsia="DengXian" w:hAnsi="Arial" w:cs="Arial"/>
          <w:szCs w:val="20"/>
          <w:lang w:eastAsia="ko-KR"/>
        </w:rPr>
        <w:fldChar w:fldCharType="begin"/>
      </w:r>
      <w:r w:rsidR="006A1A3A" w:rsidRPr="00AE7767">
        <w:rPr>
          <w:rFonts w:ascii="Arial" w:eastAsia="DengXian" w:hAnsi="Arial" w:cs="Arial"/>
          <w:szCs w:val="20"/>
          <w:lang w:eastAsia="ko-KR"/>
        </w:rPr>
        <w:instrText xml:space="preserve"> REF _Ref68177145 \h </w:instrText>
      </w:r>
      <w:r w:rsidR="00AE7767">
        <w:rPr>
          <w:rFonts w:ascii="Arial" w:eastAsia="DengXian" w:hAnsi="Arial" w:cs="Arial"/>
          <w:szCs w:val="20"/>
          <w:lang w:eastAsia="ko-KR"/>
        </w:rPr>
        <w:instrText xml:space="preserve"> \* MERGEFORMAT </w:instrText>
      </w:r>
      <w:r w:rsidR="006A1A3A" w:rsidRPr="00AE7767">
        <w:rPr>
          <w:rFonts w:ascii="Arial" w:eastAsia="DengXian" w:hAnsi="Arial" w:cs="Arial"/>
          <w:szCs w:val="20"/>
          <w:lang w:eastAsia="ko-KR"/>
        </w:rPr>
      </w:r>
      <w:r w:rsidR="006A1A3A" w:rsidRPr="00AE7767">
        <w:rPr>
          <w:rFonts w:ascii="Arial" w:eastAsia="DengXian" w:hAnsi="Arial" w:cs="Arial"/>
          <w:szCs w:val="20"/>
          <w:lang w:eastAsia="ko-KR"/>
        </w:rPr>
        <w:fldChar w:fldCharType="separate"/>
      </w:r>
      <w:r w:rsidR="006A1A3A" w:rsidRPr="00AE7767">
        <w:rPr>
          <w:rFonts w:ascii="Arial" w:hAnsi="Arial" w:cs="Arial"/>
        </w:rPr>
        <w:t xml:space="preserve">Figure </w:t>
      </w:r>
      <w:r w:rsidR="006A1A3A" w:rsidRPr="00AE7767">
        <w:rPr>
          <w:rFonts w:ascii="Arial" w:hAnsi="Arial" w:cs="Arial"/>
          <w:noProof/>
        </w:rPr>
        <w:t>6</w:t>
      </w:r>
      <w:r w:rsidR="006A1A3A" w:rsidRPr="00AE7767">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(exemplified for PRACH configuration </w:t>
      </w:r>
      <w:r w:rsidR="008E5DD3" w:rsidRPr="005C5033">
        <w:rPr>
          <w:rFonts w:ascii="Arial" w:eastAsia="DengXian" w:hAnsi="Arial" w:cs="Arial"/>
          <w:szCs w:val="20"/>
          <w:lang w:eastAsia="ko-KR"/>
        </w:rPr>
        <w:t xml:space="preserve">71 </w:t>
      </w:r>
      <w:r w:rsidR="00645C26" w:rsidRPr="005C5033">
        <w:rPr>
          <w:rFonts w:ascii="Arial" w:eastAsia="DengXian" w:hAnsi="Arial" w:cs="Arial"/>
          <w:szCs w:val="20"/>
          <w:lang w:eastAsia="ko-KR"/>
        </w:rPr>
        <w:t xml:space="preserve">in </w:t>
      </w:r>
      <w:r w:rsidR="00EC74AE" w:rsidRPr="005C5033">
        <w:rPr>
          <w:rFonts w:ascii="Arial" w:eastAsia="DengXian" w:hAnsi="Arial" w:cs="Arial"/>
          <w:szCs w:val="20"/>
          <w:lang w:eastAsia="ko-KR"/>
        </w:rPr>
        <w:fldChar w:fldCharType="begin"/>
      </w:r>
      <w:r w:rsidR="00EC74AE" w:rsidRPr="005C5033">
        <w:rPr>
          <w:rFonts w:ascii="Arial" w:eastAsia="DengXian" w:hAnsi="Arial" w:cs="Arial"/>
          <w:szCs w:val="20"/>
          <w:lang w:eastAsia="ko-KR"/>
        </w:rPr>
        <w:instrText xml:space="preserve"> REF _Ref61624213 \h  \* MERGEFORMAT </w:instrText>
      </w:r>
      <w:r w:rsidR="00EC74AE" w:rsidRPr="005C5033">
        <w:rPr>
          <w:rFonts w:ascii="Arial" w:eastAsia="DengXian" w:hAnsi="Arial" w:cs="Arial"/>
          <w:szCs w:val="20"/>
          <w:lang w:eastAsia="ko-KR"/>
        </w:rPr>
      </w:r>
      <w:r w:rsidR="00EC74AE" w:rsidRPr="005C5033">
        <w:rPr>
          <w:rFonts w:ascii="Arial" w:eastAsia="DengXian" w:hAnsi="Arial" w:cs="Arial"/>
          <w:szCs w:val="20"/>
          <w:lang w:eastAsia="ko-KR"/>
        </w:rPr>
        <w:fldChar w:fldCharType="separate"/>
      </w:r>
      <w:r w:rsidR="00EC74AE" w:rsidRPr="00B04B4C">
        <w:rPr>
          <w:rFonts w:ascii="Arial" w:eastAsia="DengXian" w:hAnsi="Arial" w:cs="Arial"/>
          <w:szCs w:val="20"/>
          <w:lang w:eastAsia="ko-KR"/>
        </w:rPr>
        <w:t>Table 2</w:t>
      </w:r>
      <w:r w:rsidR="00EC74AE" w:rsidRPr="005C5033">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When </w:t>
      </w:r>
      <w:r w:rsidR="00645C26" w:rsidRPr="005C5033">
        <w:rPr>
          <w:rFonts w:ascii="Arial" w:eastAsia="DengXian" w:hAnsi="Arial" w:cs="Arial"/>
          <w:szCs w:val="20"/>
          <w:lang w:eastAsia="ko-KR"/>
        </w:rPr>
        <w:t>“Number of PRACH slots within a 60 kHz slot” equals 2</w:t>
      </w:r>
      <w:r w:rsidR="009326CE" w:rsidRPr="005C5033">
        <w:rPr>
          <w:rFonts w:ascii="Arial" w:eastAsia="DengXian" w:hAnsi="Arial" w:cs="Arial"/>
          <w:szCs w:val="20"/>
          <w:lang w:eastAsia="ko-KR"/>
        </w:rPr>
        <w:t xml:space="preserve">, </w:t>
      </w:r>
      <w:r w:rsidR="009E140D" w:rsidRPr="005C5033">
        <w:rPr>
          <w:rFonts w:ascii="Arial" w:eastAsia="DengXian" w:hAnsi="Arial" w:cs="Arial"/>
          <w:szCs w:val="20"/>
          <w:lang w:eastAsia="ko-KR"/>
        </w:rPr>
        <w:t xml:space="preserve">a key </w:t>
      </w:r>
      <w:r w:rsidR="00267202" w:rsidRPr="005C5033">
        <w:rPr>
          <w:rFonts w:ascii="Arial" w:eastAsia="DengXian" w:hAnsi="Arial" w:cs="Arial"/>
          <w:szCs w:val="20"/>
          <w:lang w:eastAsia="ko-KR"/>
        </w:rPr>
        <w:t>design aspect</w:t>
      </w:r>
      <w:r w:rsidR="009E140D" w:rsidRPr="005C5033">
        <w:rPr>
          <w:rFonts w:ascii="Arial" w:eastAsia="DengXian" w:hAnsi="Arial" w:cs="Arial"/>
          <w:szCs w:val="20"/>
          <w:lang w:eastAsia="ko-KR"/>
        </w:rPr>
        <w:t xml:space="preserve"> is</w:t>
      </w:r>
      <w:r w:rsidR="009326CE" w:rsidRPr="005C5033">
        <w:rPr>
          <w:rFonts w:ascii="Arial" w:eastAsia="DengXian" w:hAnsi="Arial" w:cs="Arial"/>
          <w:szCs w:val="20"/>
          <w:lang w:eastAsia="ko-KR"/>
        </w:rPr>
        <w:t xml:space="preserve"> to ensure that the PRACH slots are sufficiently spread in time to avoid peaks in processing load. Possible rules </w:t>
      </w:r>
      <w:r w:rsidR="0074566A" w:rsidRPr="005C5033">
        <w:rPr>
          <w:rFonts w:ascii="Arial" w:eastAsia="DengXian" w:hAnsi="Arial" w:cs="Arial"/>
          <w:szCs w:val="20"/>
          <w:lang w:eastAsia="ko-KR"/>
        </w:rPr>
        <w:t>fulfilling</w:t>
      </w:r>
      <w:r w:rsidR="009326CE" w:rsidRPr="005C5033">
        <w:rPr>
          <w:rFonts w:ascii="Arial" w:eastAsia="DengXian" w:hAnsi="Arial" w:cs="Arial"/>
          <w:szCs w:val="20"/>
          <w:lang w:eastAsia="ko-KR"/>
        </w:rPr>
        <w:t xml:space="preserve"> this</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requirement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EC74AE"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7</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w:t>
      </w:r>
      <w:r w:rsidR="00587BA3">
        <w:rPr>
          <w:rFonts w:ascii="Arial" w:eastAsia="DengXian" w:hAnsi="Arial" w:cs="Arial"/>
          <w:szCs w:val="20"/>
          <w:lang w:eastAsia="ko-KR"/>
        </w:rPr>
        <w:t xml:space="preserve"> The </w:t>
      </w:r>
      <w:r w:rsidR="00864895">
        <w:rPr>
          <w:rFonts w:ascii="Arial" w:eastAsia="DengXian" w:hAnsi="Arial" w:cs="Arial"/>
          <w:szCs w:val="20"/>
          <w:lang w:eastAsia="ko-KR"/>
        </w:rPr>
        <w:t>example</w:t>
      </w:r>
      <w:r w:rsidR="00587BA3">
        <w:rPr>
          <w:rFonts w:ascii="Arial" w:eastAsia="DengXian" w:hAnsi="Arial" w:cs="Arial"/>
          <w:szCs w:val="20"/>
          <w:lang w:eastAsia="ko-KR"/>
        </w:rPr>
        <w:t xml:space="preserve"> rules illustrated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_Ref61858673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6</w:t>
      </w:r>
      <w:r w:rsidR="00B04B4C">
        <w:rPr>
          <w:rFonts w:ascii="Arial" w:eastAsia="DengXian" w:hAnsi="Arial" w:cs="Arial"/>
          <w:szCs w:val="20"/>
          <w:lang w:eastAsia="ko-KR"/>
        </w:rPr>
        <w:fldChar w:fldCharType="end"/>
      </w:r>
      <w:r w:rsidR="00587BA3">
        <w:rPr>
          <w:rFonts w:ascii="Arial" w:eastAsia="DengXian" w:hAnsi="Arial" w:cs="Arial"/>
          <w:szCs w:val="20"/>
          <w:lang w:eastAsia="ko-KR"/>
        </w:rPr>
        <w:t xml:space="preserve"> and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7</w:t>
      </w:r>
      <w:r w:rsidR="00B04B4C">
        <w:rPr>
          <w:rFonts w:ascii="Arial" w:eastAsia="DengXian" w:hAnsi="Arial" w:cs="Arial"/>
          <w:szCs w:val="20"/>
          <w:lang w:eastAsia="ko-KR"/>
        </w:rPr>
        <w:fldChar w:fldCharType="end"/>
      </w:r>
      <w:r w:rsidR="00587BA3">
        <w:rPr>
          <w:rFonts w:ascii="Arial" w:eastAsia="DengXian" w:hAnsi="Arial" w:cs="Arial"/>
          <w:szCs w:val="20"/>
          <w:lang w:eastAsia="ko-KR"/>
        </w:rPr>
        <w:t xml:space="preserve"> can be </w:t>
      </w:r>
      <w:r w:rsidR="00F638C4">
        <w:rPr>
          <w:rFonts w:ascii="Arial" w:eastAsia="DengXian" w:hAnsi="Arial" w:cs="Arial"/>
          <w:szCs w:val="20"/>
          <w:lang w:eastAsia="ko-KR"/>
        </w:rPr>
        <w:t>included in 38.211</w:t>
      </w:r>
      <w:r w:rsidR="00587BA3">
        <w:rPr>
          <w:rFonts w:ascii="Arial" w:eastAsia="DengXian" w:hAnsi="Arial" w:cs="Arial"/>
          <w:szCs w:val="20"/>
          <w:lang w:eastAsia="ko-KR"/>
        </w:rPr>
        <w:t xml:space="preserve"> by adding the following</w:t>
      </w:r>
      <w:r w:rsidR="00B04B4C">
        <w:rPr>
          <w:rFonts w:ascii="Arial" w:eastAsia="DengXian" w:hAnsi="Arial" w:cs="Arial"/>
          <w:szCs w:val="20"/>
          <w:lang w:eastAsia="ko-KR"/>
        </w:rPr>
        <w:t xml:space="preserve"> to the above bullets</w:t>
      </w:r>
      <w:r w:rsidR="00587BA3">
        <w:rPr>
          <w:rFonts w:ascii="Arial" w:eastAsia="DengXian" w:hAnsi="Arial" w:cs="Arial"/>
          <w:szCs w:val="20"/>
          <w:lang w:eastAsia="ko-KR"/>
        </w:rPr>
        <w:t>:</w:t>
      </w:r>
    </w:p>
    <w:p w14:paraId="29138515" w14:textId="77777777" w:rsidR="00B04B4C" w:rsidRDefault="00B04B4C" w:rsidP="00FD1284">
      <w:pPr>
        <w:pStyle w:val="B1"/>
        <w:spacing w:after="0"/>
        <w:ind w:left="0" w:firstLine="0"/>
        <w:rPr>
          <w:rFonts w:ascii="Arial" w:eastAsia="DengXian" w:hAnsi="Arial" w:cs="Arial"/>
          <w:szCs w:val="20"/>
          <w:lang w:eastAsia="ko-KR"/>
        </w:rPr>
      </w:pPr>
    </w:p>
    <w:p w14:paraId="3774F560" w14:textId="77777777" w:rsidR="00864895" w:rsidRDefault="00864895" w:rsidP="00864895">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m:t>
        </m:r>
      </m:oMath>
      <w:r w:rsidRPr="000B428E">
        <w:rPr>
          <w:szCs w:val="20"/>
        </w:rPr>
        <w:t xml:space="preserve"> </w:t>
      </w:r>
      <w:r w:rsidRPr="00CA4EC7">
        <w:rPr>
          <w:szCs w:val="20"/>
        </w:rPr>
        <w:t xml:space="preserve">if </w:t>
      </w:r>
      <w:r w:rsidRPr="002F789E">
        <w:rPr>
          <w:szCs w:val="20"/>
        </w:rPr>
        <w:t>"</w:t>
      </w:r>
      <w:r w:rsidRPr="0084318F">
        <w:rPr>
          <w:szCs w:val="20"/>
        </w:rPr>
        <w:t>N</w:t>
      </w:r>
      <w:r w:rsidRPr="00184903">
        <w:t>umber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={3,7}</m:t>
        </m:r>
      </m:oMath>
      <w:r w:rsidRPr="000B428E">
        <w:rPr>
          <w:szCs w:val="20"/>
        </w:rPr>
        <w:t xml:space="preserve"> </w:t>
      </w:r>
      <w:r w:rsidRPr="00CA4EC7">
        <w:rPr>
          <w:szCs w:val="20"/>
        </w:rPr>
        <w:t>if "</w:t>
      </w:r>
      <w:r w:rsidRPr="00184903">
        <w:t>Number of PRACH slots within a 60 kHz slot</w:t>
      </w:r>
      <w:r>
        <w:t>"</w:t>
      </w:r>
      <w:r w:rsidR="005E44F4" w:rsidRPr="005E44F4">
        <w:t xml:space="preserve"> </w:t>
      </w:r>
      <w:r w:rsidR="005E44F4" w:rsidRPr="00184903">
        <w:t>in Table 6.3.3.2-4</w:t>
      </w:r>
      <w:r>
        <w:t xml:space="preserve"> is equal to 2.</w:t>
      </w:r>
    </w:p>
    <w:p w14:paraId="1CF63E3E" w14:textId="77777777" w:rsidR="00587BA3" w:rsidRPr="005C5033" w:rsidRDefault="00864895" w:rsidP="005C5033">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=15</m:t>
        </m:r>
      </m:oMath>
      <w:r w:rsidRPr="000B428E">
        <w:rPr>
          <w:szCs w:val="20"/>
        </w:rPr>
        <w:t xml:space="preserve"> </w:t>
      </w:r>
      <w:r w:rsidRPr="00CA4EC7">
        <w:rPr>
          <w:szCs w:val="20"/>
        </w:rPr>
        <w:t>if "</w:t>
      </w:r>
      <w:r w:rsidRPr="002F789E">
        <w:rPr>
          <w:szCs w:val="20"/>
        </w:rPr>
        <w:t>N</w:t>
      </w:r>
      <w:r w:rsidRPr="0084318F">
        <w:rPr>
          <w:szCs w:val="20"/>
        </w:rPr>
        <w:t>um</w:t>
      </w:r>
      <w:r w:rsidRPr="00184903">
        <w:t>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={7,15}</m:t>
        </m:r>
      </m:oMath>
      <w:r w:rsidRPr="000B428E">
        <w:rPr>
          <w:szCs w:val="20"/>
        </w:rPr>
        <w:t xml:space="preserve"> </w:t>
      </w:r>
      <w:r w:rsidRPr="00CA4EC7">
        <w:rPr>
          <w:szCs w:val="20"/>
        </w:rPr>
        <w:t>if "</w:t>
      </w:r>
      <w:r w:rsidRPr="002F789E">
        <w:rPr>
          <w:szCs w:val="20"/>
        </w:rPr>
        <w:t>Number</w:t>
      </w:r>
      <w:r w:rsidRPr="0084318F">
        <w:rPr>
          <w:szCs w:val="20"/>
        </w:rPr>
        <w:t xml:space="preserve"> </w:t>
      </w:r>
      <w:r w:rsidRPr="00184903">
        <w:t>of PRACH slots within a 60 kHz slot</w:t>
      </w:r>
      <w:r>
        <w:t>"</w:t>
      </w:r>
      <w:r w:rsidR="005E44F4">
        <w:t xml:space="preserve"> </w:t>
      </w:r>
      <w:r w:rsidR="005E44F4" w:rsidRPr="00184903">
        <w:t>in Table 6.3.3.2-4</w:t>
      </w:r>
      <w:r>
        <w:t xml:space="preserve"> is equal to 2.</w:t>
      </w:r>
    </w:p>
    <w:p w14:paraId="013101CC" w14:textId="77777777" w:rsidR="00863555" w:rsidRDefault="00863555" w:rsidP="00FD1284">
      <w:pPr>
        <w:pStyle w:val="B1"/>
        <w:spacing w:after="0"/>
        <w:ind w:left="0" w:firstLine="0"/>
        <w:rPr>
          <w:rFonts w:ascii="Arial" w:eastAsia="DengXian" w:hAnsi="Arial" w:cs="Arial"/>
          <w:szCs w:val="20"/>
          <w:lang w:eastAsia="ko-KR"/>
        </w:rPr>
      </w:pPr>
    </w:p>
    <w:p w14:paraId="4AEBCD25" w14:textId="77777777" w:rsidR="00A165D9" w:rsidRDefault="00A165D9" w:rsidP="00A165D9">
      <w:pPr>
        <w:pStyle w:val="TF"/>
        <w:jc w:val="both"/>
        <w:rPr>
          <w:lang w:val="en-US"/>
        </w:rPr>
      </w:pPr>
      <w:r w:rsidRPr="00206E91">
        <w:rPr>
          <w:noProof/>
          <w:lang w:val="en-US"/>
        </w:rPr>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5FC6ED74" w:rsidR="00A165D9" w:rsidRDefault="00A165D9" w:rsidP="006A1A3A">
      <w:pPr>
        <w:pStyle w:val="Caption"/>
        <w:rPr>
          <w:rFonts w:cs="Arial"/>
          <w:highlight w:val="yellow"/>
        </w:rPr>
      </w:pPr>
      <w:bookmarkStart w:id="39" w:name="_Ref68177145"/>
      <w:r>
        <w:t xml:space="preserve">Figure </w:t>
      </w:r>
      <w:r w:rsidRPr="00206E91">
        <w:fldChar w:fldCharType="begin"/>
      </w:r>
      <w:r>
        <w:instrText xml:space="preserve"> SEQ Figure \* ARABIC </w:instrText>
      </w:r>
      <w:r w:rsidRPr="00206E91">
        <w:fldChar w:fldCharType="separate"/>
      </w:r>
      <w:r w:rsidR="00823116">
        <w:rPr>
          <w:noProof/>
        </w:rPr>
        <w:t>6</w:t>
      </w:r>
      <w:r w:rsidRPr="00206E91">
        <w:fldChar w:fldCharType="end"/>
      </w:r>
      <w:bookmarkEnd w:id="39"/>
      <w:r>
        <w:t xml:space="preserve"> Illustration of possible rules for which slots within a 60 kHz slot to use for PRACH when </w:t>
      </w:r>
      <w:r w:rsidRPr="00206E91">
        <w:rPr>
          <w:rFonts w:eastAsia="DengXian" w:cs="Arial"/>
          <w:szCs w:val="20"/>
          <w:lang w:eastAsia="ko-KR"/>
        </w:rPr>
        <w:t>“Number of PRACH slots within a 60 kHz slot</w:t>
      </w:r>
      <w:r w:rsidRPr="005C5033">
        <w:rPr>
          <w:rFonts w:eastAsia="DengXian" w:cs="Arial"/>
          <w:szCs w:val="20"/>
          <w:lang w:eastAsia="ko-KR"/>
        </w:rPr>
        <w:t>” equals 1</w:t>
      </w:r>
      <w:r w:rsidRPr="005C5033">
        <w:t>.</w:t>
      </w:r>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A165D9">
      <w:pPr>
        <w:pStyle w:val="B1"/>
        <w:spacing w:after="0"/>
        <w:ind w:left="0" w:firstLine="0"/>
        <w:rPr>
          <w:rFonts w:ascii="Arial" w:eastAsia="DengXian" w:hAnsi="Arial" w:cs="Arial"/>
          <w:szCs w:val="20"/>
          <w:lang w:eastAsia="ko-KR"/>
        </w:rPr>
      </w:pPr>
      <w:r w:rsidRPr="00206E91">
        <w:rPr>
          <w:rFonts w:ascii="Arial" w:eastAsia="DengXian" w:hAnsi="Arial" w:cs="Arial"/>
          <w:noProof/>
          <w:szCs w:val="20"/>
          <w:lang w:eastAsia="ko-KR"/>
        </w:rPr>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76032104" w:rsidR="00A165D9" w:rsidRDefault="00A165D9" w:rsidP="00A165D9">
      <w:pPr>
        <w:pStyle w:val="TF"/>
        <w:jc w:val="both"/>
        <w:rPr>
          <w:rFonts w:cs="Arial"/>
          <w:highlight w:val="yellow"/>
        </w:rPr>
      </w:pPr>
      <w:bookmarkStart w:id="40" w:name="_Ref61858690"/>
      <w:r>
        <w:rPr>
          <w:lang w:val="en-US"/>
        </w:rPr>
        <w:t xml:space="preserve">Figure </w:t>
      </w:r>
      <w:r w:rsidRPr="00206E91">
        <w:fldChar w:fldCharType="begin"/>
      </w:r>
      <w:r>
        <w:instrText xml:space="preserve"> SEQ Figure \* ARABIC </w:instrText>
      </w:r>
      <w:r w:rsidRPr="00206E91">
        <w:fldChar w:fldCharType="separate"/>
      </w:r>
      <w:r w:rsidR="00823116">
        <w:rPr>
          <w:noProof/>
        </w:rPr>
        <w:t>7</w:t>
      </w:r>
      <w:r w:rsidRPr="00206E91">
        <w:fldChar w:fldCharType="end"/>
      </w:r>
      <w:bookmarkEnd w:id="40"/>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123A49E7" w14:textId="77777777" w:rsidR="00E408EA" w:rsidRDefault="00E408EA" w:rsidP="00FD1284">
      <w:pPr>
        <w:pStyle w:val="B1"/>
        <w:spacing w:after="0"/>
        <w:ind w:left="0" w:firstLine="0"/>
        <w:rPr>
          <w:rFonts w:ascii="Arial" w:eastAsia="DengXian" w:hAnsi="Arial" w:cs="Arial"/>
          <w:szCs w:val="20"/>
          <w:lang w:eastAsia="ko-KR"/>
        </w:rPr>
      </w:pPr>
    </w:p>
    <w:p w14:paraId="096CDDE2" w14:textId="37F23C78" w:rsidR="00E408EA" w:rsidRPr="005C5033" w:rsidRDefault="009405B9" w:rsidP="00E408EA">
      <w:pPr>
        <w:rPr>
          <w:rFonts w:asciiTheme="minorHAnsi" w:hAnsiTheme="minorHAnsi"/>
        </w:rPr>
      </w:pPr>
      <w:r>
        <w:t xml:space="preserve">The location of </w:t>
      </w:r>
      <w:r w:rsidR="00E408EA">
        <w:t xml:space="preserve">PRACH occasions </w:t>
      </w:r>
      <w:r>
        <w:t xml:space="preserve">within </w:t>
      </w:r>
      <w:r w:rsidR="003D3974">
        <w:t xml:space="preserve">a 60 kHz reference </w:t>
      </w:r>
      <w:r>
        <w:t xml:space="preserve">slot </w:t>
      </w:r>
      <w:r w:rsidR="00E408EA">
        <w:t xml:space="preserve">is </w:t>
      </w:r>
      <w:r w:rsidR="00025A57">
        <w:t xml:space="preserve">then </w:t>
      </w:r>
      <w:r w:rsidR="00E408EA">
        <w:t xml:space="preserve">determined in Section 5.3.2 of 38.211 </w:t>
      </w:r>
      <w:r w:rsidR="00605CB2">
        <w:t>as follows</w:t>
      </w:r>
      <w:r w:rsidR="003D3974">
        <w:t>:</w:t>
      </w:r>
    </w:p>
    <w:p w14:paraId="0D4A5089" w14:textId="7CCEF5BB" w:rsidR="00E408EA" w:rsidRPr="00392A35" w:rsidRDefault="00E408EA" w:rsidP="005C5033">
      <w:pPr>
        <w:jc w:val="center"/>
      </w:pPr>
      <m:oMath>
        <m:r>
          <w:rPr>
            <w:rFonts w:ascii="Cambria Math" w:hAnsi="Cambria Math"/>
          </w:rPr>
          <m:t>l</m:t>
        </m:r>
        <m:r>
          <m:rPr>
            <m:sty m:val="p"/>
          </m:rPr>
          <w:rPr>
            <w:rFonts w:ascii="Cambria Math" w:hAnsi="Cambria Math"/>
          </w:rPr>
          <m:t>=</m:t>
        </m:r>
        <m:sSub>
          <m:sSubPr>
            <m:ctrlPr>
              <w:rPr>
                <w:rFonts w:ascii="Cambria Math" w:hAnsi="Cambria Math" w:cs="Calibri"/>
                <w:sz w:val="22"/>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sty m:val="p"/>
              </m:rPr>
              <w:rPr>
                <w:rFonts w:ascii="Cambria Math" w:hAnsi="Cambria Math"/>
              </w:rPr>
              <m:t>RA</m:t>
            </m:r>
          </m:sup>
        </m:sSubSup>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dur</m:t>
            </m:r>
          </m:sub>
          <m:sup>
            <m:r>
              <m:rPr>
                <m:sty m:val="p"/>
              </m:rPr>
              <w:rPr>
                <w:rFonts w:ascii="Cambria Math" w:hAnsi="Cambria Math"/>
              </w:rPr>
              <m:t>RA</m:t>
            </m:r>
          </m:sup>
        </m:sSubSup>
        <m:r>
          <m:rPr>
            <m:sty m:val="p"/>
          </m:rPr>
          <w:rPr>
            <w:rFonts w:ascii="Cambria Math" w:hAnsi="Cambria Math"/>
          </w:rPr>
          <m:t>+14</m:t>
        </m:r>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rFonts w:eastAsiaTheme="minorEastAsia"/>
          <w:sz w:val="22"/>
        </w:rPr>
        <w:t>,</w:t>
      </w:r>
    </w:p>
    <w:p w14:paraId="238792A9" w14:textId="0FED397B" w:rsidR="00645C26" w:rsidRPr="005C5033" w:rsidRDefault="00F73329" w:rsidP="005C5033">
      <w:r>
        <w:t>w</w:t>
      </w:r>
      <w:r w:rsidR="00E408EA">
        <w:t>here</w:t>
      </w:r>
      <w:r w:rsidR="00144706">
        <w:t xml:space="preserve"> </w:t>
      </w:r>
      <m:oMath>
        <m:r>
          <w:rPr>
            <w:rFonts w:ascii="Cambria Math" w:hAnsi="Cambria Math"/>
          </w:rPr>
          <m:t>l</m:t>
        </m:r>
      </m:oMath>
      <w:r w:rsidR="00E408EA">
        <w:t xml:space="preserve"> </w:t>
      </w:r>
      <w:r w:rsidR="00144706">
        <w:t xml:space="preserve">is the starting </w:t>
      </w:r>
      <w:r w:rsidR="00175139">
        <w:t xml:space="preserve">OFDM </w:t>
      </w:r>
      <w:r w:rsidR="00144706">
        <w:t xml:space="preserve">symbol </w:t>
      </w:r>
      <w:r w:rsidR="00605CB2">
        <w:t xml:space="preserve">(in the PRACH SCS) </w:t>
      </w:r>
      <w:r w:rsidR="00144706">
        <w:t xml:space="preserve">of </w:t>
      </w:r>
      <w:r w:rsidR="00084E57">
        <w:t>a</w:t>
      </w:r>
      <w:r w:rsidR="00144706">
        <w:t xml:space="preserve"> PRACH occasion within </w:t>
      </w:r>
      <w:r w:rsidR="003D3974">
        <w:t>the</w:t>
      </w:r>
      <w:r w:rsidR="00144706">
        <w:t xml:space="preserve"> reference 60 kHz slot, </w:t>
      </w:r>
      <w:r w:rsidR="00E408EA">
        <w:rPr>
          <w:noProof/>
          <w:position w:val="-10"/>
        </w:rPr>
        <w:drawing>
          <wp:inline distT="0" distB="0" distL="0" distR="0" wp14:anchorId="668BDEB8" wp14:editId="6C53A99E">
            <wp:extent cx="1143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00E408EA">
        <w:t xml:space="preserve"> is given by the column "Starting symbol" in the PRACH configuration table, </w:t>
      </w:r>
      <w:r w:rsidR="00E408EA" w:rsidRPr="00F5624F">
        <w:rPr>
          <w:noProof/>
          <w:position w:val="-10"/>
        </w:rPr>
        <w:drawing>
          <wp:inline distT="0" distB="0" distL="0" distR="0" wp14:anchorId="2D8C1EAF" wp14:editId="7381D944">
            <wp:extent cx="2381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is </w:t>
      </w:r>
      <w:r w:rsidR="00831409">
        <w:t xml:space="preserve">the PRACH </w:t>
      </w:r>
      <w:r w:rsidR="008E3C17">
        <w:t xml:space="preserve">occasion </w:t>
      </w:r>
      <w:r w:rsidR="00831409">
        <w:t xml:space="preserve">duration in number of OFDM symbols and is </w:t>
      </w:r>
      <w:r w:rsidR="00E408EA">
        <w:t>given by the column “</w:t>
      </w:r>
      <w:r w:rsidR="00E408EA" w:rsidRPr="00F5624F">
        <w:rPr>
          <w:noProof/>
          <w:position w:val="-10"/>
        </w:rPr>
        <w:drawing>
          <wp:inline distT="0" distB="0" distL="0" distR="0" wp14:anchorId="5FD3E57A" wp14:editId="5F1758B4">
            <wp:extent cx="2381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PRACH duration”, </w:t>
      </w:r>
      <m:oMath>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nor/>
              </m:rPr>
              <m:t>RA</m:t>
            </m:r>
          </m:sup>
        </m:sSubSup>
      </m:oMath>
      <w:r w:rsidR="00E408EA">
        <w:t xml:space="preserve"> is the </w:t>
      </w:r>
      <w:r w:rsidR="00DE71A3">
        <w:t xml:space="preserve">PRACH </w:t>
      </w:r>
      <w:r w:rsidR="00E408EA">
        <w:t>occasion index within the slot and ranges from 0 up to one less than the value in the column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sty m:val="p"/>
              </m:rPr>
              <w:rPr>
                <w:rFonts w:ascii="Cambria Math" w:hAnsi="Cambria Math"/>
              </w:rPr>
              <m:t>RA, slot</m:t>
            </m:r>
          </m:sup>
        </m:sSubSup>
      </m:oMath>
      <w:r w:rsidR="00E408EA">
        <w:rPr>
          <w:rFonts w:eastAsia="Batang"/>
        </w:rPr>
        <w:t>,number of time-domain PRACH occasions within a PRACH slot</w:t>
      </w:r>
      <w:r w:rsidR="00E408EA">
        <w:t xml:space="preserve">”, and </w:t>
      </w:r>
      <m:oMath>
        <m:sSubSup>
          <m:sSubSupPr>
            <m:ctrlPr>
              <w:rPr>
                <w:rFonts w:ascii="Cambria Math" w:hAnsi="Cambria Math" w:cs="Calibri"/>
                <w:sz w:val="22"/>
              </w:rPr>
            </m:ctrlPr>
          </m:sSubSupPr>
          <m:e>
            <m:r>
              <w:rPr>
                <w:rFonts w:ascii="Cambria Math" w:hAnsi="Cambria Math"/>
              </w:rPr>
              <m:t>n</m:t>
            </m:r>
          </m:e>
          <m:sub>
            <m:r>
              <m:rPr>
                <m:nor/>
              </m:rPr>
              <m:t>slot</m:t>
            </m:r>
          </m:sub>
          <m:sup>
            <m:r>
              <m:rPr>
                <m:nor/>
              </m:rPr>
              <m:t>RA</m:t>
            </m:r>
          </m:sup>
        </m:sSubSup>
      </m:oMath>
      <w:r w:rsidR="00E408EA">
        <w:t xml:space="preserve"> is the PRACH slot index </w:t>
      </w:r>
      <w:r w:rsidR="00E408EA" w:rsidRPr="005C5033">
        <w:t xml:space="preserve">within the 60 kHz </w:t>
      </w:r>
      <w:r w:rsidR="00FC54CF" w:rsidRPr="005C5033">
        <w:t xml:space="preserve">reference </w:t>
      </w:r>
      <w:r w:rsidR="00E408EA" w:rsidRPr="005C5033">
        <w:t xml:space="preserve">slot as discussed above. </w:t>
      </w:r>
      <w:proofErr w:type="gramStart"/>
      <w:r w:rsidR="00E408EA" w:rsidRPr="005C5033">
        <w:t>In order to</w:t>
      </w:r>
      <w:proofErr w:type="gramEnd"/>
      <w:r w:rsidR="00E408EA" w:rsidRPr="005C5033">
        <w:t xml:space="preserve"> support 480/960 kHz SCS, there is no need to make any changes to this equation </w:t>
      </w:r>
      <w:r w:rsidR="000C634D" w:rsidRPr="005C5033">
        <w:t xml:space="preserve">or these </w:t>
      </w:r>
      <w:r w:rsidR="00E408EA" w:rsidRPr="005C5033">
        <w:t xml:space="preserve">table </w:t>
      </w:r>
      <w:r w:rsidR="000C634D" w:rsidRPr="005C5033">
        <w:t>columns</w:t>
      </w:r>
      <w:r w:rsidR="00E408EA" w:rsidRPr="005C5033">
        <w:t>.</w:t>
      </w:r>
    </w:p>
    <w:p w14:paraId="26F1303B" w14:textId="0703F586" w:rsidR="00AB4CE5" w:rsidRPr="005C5033" w:rsidRDefault="00AB4CE5" w:rsidP="005C5033">
      <w:r>
        <w:t>In summary, all columns in the current RACH configuration table for FR2 can be used "as is," for supporting 480/960 kHz PRACH. The only thing that needs to be changed is to add a rule, as described above, for defining which 1 or 2 480/960 kHz slots within a reference 60 kHz slot are used.</w:t>
      </w:r>
    </w:p>
    <w:p w14:paraId="6E7508FC" w14:textId="77777777" w:rsidR="00645C26" w:rsidRPr="005C5033" w:rsidRDefault="00645C26" w:rsidP="00FD1284">
      <w:pPr>
        <w:pStyle w:val="B1"/>
        <w:spacing w:after="0"/>
        <w:ind w:left="0" w:firstLine="0"/>
        <w:rPr>
          <w:rFonts w:ascii="Arial" w:eastAsia="DengXian" w:hAnsi="Arial" w:cs="Arial"/>
          <w:szCs w:val="20"/>
          <w:lang w:eastAsia="ko-KR"/>
        </w:rPr>
      </w:pPr>
    </w:p>
    <w:p w14:paraId="06A906FC" w14:textId="424B642B" w:rsidR="00B33D7D" w:rsidRPr="005C5033" w:rsidRDefault="00B33D7D" w:rsidP="00F010E9">
      <w:pPr>
        <w:pStyle w:val="Observation"/>
        <w:ind w:left="1710" w:hanging="1710"/>
        <w:rPr>
          <w:rFonts w:eastAsia="DengXian" w:cs="Arial"/>
          <w:szCs w:val="20"/>
          <w:lang w:eastAsia="ko-KR"/>
        </w:rPr>
      </w:pPr>
      <w:bookmarkStart w:id="41" w:name="_Toc68549376"/>
      <w:r w:rsidRPr="005C5033">
        <w:t>The c</w:t>
      </w:r>
      <w:r w:rsidR="00FC5496" w:rsidRPr="005C5033">
        <w:t xml:space="preserve">urrent </w:t>
      </w:r>
      <w:r w:rsidR="00522B60">
        <w:t>P</w:t>
      </w:r>
      <w:r w:rsidR="00FC5496" w:rsidRPr="00DC4504">
        <w:t>RACH</w:t>
      </w:r>
      <w:r w:rsidR="00FC5496" w:rsidRPr="005C5033">
        <w:t xml:space="preserve"> configuration table for FR2 </w:t>
      </w:r>
      <w:r w:rsidRPr="005C5033">
        <w:t>which defines PRACH slot positions based on a reference numerology of 60</w:t>
      </w:r>
      <w:r w:rsidR="00F24AC5" w:rsidRPr="005C5033">
        <w:t> </w:t>
      </w:r>
      <w:r w:rsidRPr="005C5033">
        <w:t>kHz can be reused as is for 480/960</w:t>
      </w:r>
      <w:r w:rsidR="00F24AC5" w:rsidRPr="005C5033">
        <w:t> </w:t>
      </w:r>
      <w:r w:rsidRPr="005C5033">
        <w:t xml:space="preserve">kHz. What needs to be specified is </w:t>
      </w:r>
      <w:r w:rsidR="00522B60">
        <w:t xml:space="preserve">a rule on </w:t>
      </w:r>
      <w:r w:rsidRPr="005C5033">
        <w:t>which 1 or 2 480/960 kHz slots within the reference 60</w:t>
      </w:r>
      <w:r w:rsidR="00F24AC5" w:rsidRPr="005C5033">
        <w:t> </w:t>
      </w:r>
      <w:r w:rsidRPr="005C5033">
        <w:t>kHz slot contain PRACH occasion(s).</w:t>
      </w:r>
      <w:bookmarkEnd w:id="41"/>
    </w:p>
    <w:p w14:paraId="6A49B838" w14:textId="0AA009B2" w:rsidR="00522566" w:rsidRPr="005C5033" w:rsidRDefault="00522566" w:rsidP="00FD1284">
      <w:pPr>
        <w:pStyle w:val="B1"/>
        <w:spacing w:after="0"/>
        <w:ind w:left="0" w:firstLine="0"/>
        <w:rPr>
          <w:rFonts w:ascii="Arial" w:eastAsia="DengXian" w:hAnsi="Arial" w:cs="Arial"/>
          <w:szCs w:val="20"/>
          <w:lang w:eastAsia="ko-KR"/>
        </w:rPr>
      </w:pPr>
    </w:p>
    <w:p w14:paraId="405F731B" w14:textId="4BFDEBBD" w:rsidR="00837F48" w:rsidRPr="005C5033" w:rsidRDefault="00837F48" w:rsidP="005C5033">
      <w:pPr>
        <w:pStyle w:val="Proposal"/>
        <w:rPr>
          <w:rFonts w:eastAsia="DengXian" w:cs="Arial"/>
          <w:szCs w:val="20"/>
          <w:lang w:eastAsia="ko-KR"/>
        </w:rPr>
      </w:pPr>
      <w:bookmarkStart w:id="42" w:name="_Toc61755594"/>
      <w:bookmarkStart w:id="43" w:name="_Toc61755835"/>
      <w:bookmarkStart w:id="44" w:name="_Toc61765941"/>
      <w:bookmarkStart w:id="45" w:name="_Toc68549391"/>
      <w:bookmarkEnd w:id="42"/>
      <w:bookmarkEnd w:id="43"/>
      <w:bookmarkEnd w:id="44"/>
      <w:r w:rsidRPr="005C5033">
        <w:t xml:space="preserve">To fulfill </w:t>
      </w:r>
      <w:r w:rsidR="00202C2C" w:rsidRPr="005C5033">
        <w:fldChar w:fldCharType="begin"/>
      </w:r>
      <w:r w:rsidR="00202C2C" w:rsidRPr="005C5033">
        <w:instrText xml:space="preserve"> REF _Ref61755811 \r \h </w:instrText>
      </w:r>
      <w:r w:rsidR="00202C2C" w:rsidRPr="005C5033">
        <w:fldChar w:fldCharType="separate"/>
      </w:r>
      <w:r w:rsidR="00202C2C" w:rsidRPr="005C5033">
        <w:t>Proposal 8</w:t>
      </w:r>
      <w:r w:rsidR="00202C2C" w:rsidRPr="005C5033">
        <w:fldChar w:fldCharType="end"/>
      </w:r>
      <w:r w:rsidRPr="005C5033">
        <w:t>, support configuration of PRACH occasion(s) in only 1 or 2 480/960</w:t>
      </w:r>
      <w:r w:rsidR="00B43B5F">
        <w:t xml:space="preserve"> kHz </w:t>
      </w:r>
      <w:r w:rsidRPr="000B428E">
        <w:t>slots within a 60</w:t>
      </w:r>
      <w:r w:rsidR="00F24AC5">
        <w:t> </w:t>
      </w:r>
      <w:r w:rsidRPr="00CA4EC7">
        <w:t xml:space="preserve">kHz </w:t>
      </w:r>
      <w:r w:rsidR="00EE33CD">
        <w:t xml:space="preserve">reference </w:t>
      </w:r>
      <w:r w:rsidRPr="00F5624F">
        <w:t>slot.</w:t>
      </w:r>
      <w:bookmarkEnd w:id="45"/>
    </w:p>
    <w:p w14:paraId="37D36F8F" w14:textId="77777777" w:rsidR="00FC5496" w:rsidRPr="005C5033" w:rsidRDefault="00FC5496" w:rsidP="00FD1284">
      <w:pPr>
        <w:pStyle w:val="B1"/>
        <w:spacing w:after="0"/>
        <w:ind w:left="0" w:firstLine="0"/>
        <w:rPr>
          <w:rFonts w:ascii="Arial" w:eastAsia="DengXian" w:hAnsi="Arial" w:cs="Arial"/>
          <w:szCs w:val="20"/>
          <w:lang w:eastAsia="ko-KR"/>
        </w:rPr>
      </w:pPr>
    </w:p>
    <w:p w14:paraId="6A9D88D1" w14:textId="4D92FB67" w:rsidR="00645C26" w:rsidRPr="00522B60" w:rsidRDefault="00B33D7D" w:rsidP="00522B60">
      <w:pPr>
        <w:pStyle w:val="Proposal"/>
        <w:rPr>
          <w:rFonts w:eastAsia="DengXian" w:cs="Arial"/>
          <w:szCs w:val="20"/>
          <w:lang w:eastAsia="ko-KR"/>
        </w:rPr>
      </w:pPr>
      <w:bookmarkStart w:id="46" w:name="_Toc68549392"/>
      <w:r w:rsidRPr="00CA4EC7">
        <w:t>For 480/960</w:t>
      </w:r>
      <w:r w:rsidR="00F24AC5">
        <w:t> </w:t>
      </w:r>
      <w:r w:rsidRPr="000B428E">
        <w:t>kHz PRACH, reuse the current PRACH configuration table in 38.211 for FR</w:t>
      </w:r>
      <w:r w:rsidRPr="00CA4EC7">
        <w:t>2</w:t>
      </w:r>
      <w:r w:rsidR="00522B60">
        <w:t xml:space="preserve"> "as is</w:t>
      </w:r>
      <w:r w:rsidRPr="00CA4EC7">
        <w:t>.</w:t>
      </w:r>
      <w:r w:rsidR="00522B60">
        <w:t>"</w:t>
      </w:r>
      <w:r w:rsidRPr="00CA4EC7">
        <w:t xml:space="preserve"> </w:t>
      </w:r>
      <w:r w:rsidR="00522B60">
        <w:t xml:space="preserve">Specify rule for which 1 or 2 480/960 kHz slots within a 60 kHz reference slot are used depending on the value in the existing column </w:t>
      </w:r>
      <w:r w:rsidR="00522B60" w:rsidRPr="00522B60">
        <w:t>"Number of PRACH slots within a 60 kHz slot" in</w:t>
      </w:r>
      <w:r w:rsidR="00522B60">
        <w:t xml:space="preserve"> the current PRACH configuration table.</w:t>
      </w:r>
      <w:r w:rsidR="00BE3AB1">
        <w:t xml:space="preserve"> The rule should be common for all PRACH configurations in the table.</w:t>
      </w:r>
      <w:bookmarkEnd w:id="46"/>
    </w:p>
    <w:p w14:paraId="4CF5B897" w14:textId="77777777" w:rsidR="00645C26" w:rsidRPr="005C5033" w:rsidRDefault="00645C26" w:rsidP="00FD1284">
      <w:pPr>
        <w:pStyle w:val="B1"/>
        <w:spacing w:after="0"/>
        <w:ind w:left="0" w:firstLine="0"/>
        <w:rPr>
          <w:rFonts w:ascii="Arial" w:eastAsia="DengXian" w:hAnsi="Arial" w:cs="Arial"/>
          <w:szCs w:val="20"/>
          <w:lang w:eastAsia="ko-KR"/>
        </w:rPr>
      </w:pPr>
    </w:p>
    <w:p w14:paraId="12FFF725" w14:textId="22C3D79F" w:rsidR="00645C26" w:rsidRPr="005C5033" w:rsidRDefault="00384790" w:rsidP="005C5033">
      <w:pPr>
        <w:pStyle w:val="Heading3"/>
        <w:rPr>
          <w:rFonts w:eastAsia="DengXian"/>
        </w:rPr>
      </w:pPr>
      <w:r w:rsidRPr="005C5033">
        <w:rPr>
          <w:rFonts w:eastAsia="DengXian"/>
        </w:rPr>
        <w:t>2.2.1</w:t>
      </w:r>
      <w:r w:rsidRPr="005C5033">
        <w:rPr>
          <w:rFonts w:eastAsia="DengXian"/>
        </w:rPr>
        <w:tab/>
        <w:t>LBT gaps between consecutive RACH occasions</w:t>
      </w:r>
    </w:p>
    <w:p w14:paraId="510870D7" w14:textId="0AF8704C" w:rsidR="00384790" w:rsidRPr="005C5033" w:rsidRDefault="00384790" w:rsidP="005C5033">
      <w:pPr>
        <w:pStyle w:val="BodyText"/>
        <w:rPr>
          <w:rFonts w:eastAsia="Times New Roman" w:cs="Times New Roman"/>
          <w:szCs w:val="20"/>
        </w:rPr>
      </w:pPr>
      <w:r>
        <w:t xml:space="preserve">For NR-U in the 5/6 GHz band, it was discussed </w:t>
      </w:r>
      <w:proofErr w:type="gramStart"/>
      <w:r>
        <w:t>whether or not</w:t>
      </w:r>
      <w:proofErr w:type="gramEnd"/>
      <w:r>
        <w:t xml:space="preserve"> to introduce gaps between consecutive PRACH occasions within a PRACH slot. In the end, it was decided not to introduce such gaps, as this was viewed as an optimization. In the 52.6 – 71 GHz band, the need for such gaps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fldChar w:fldCharType="separate"/>
      </w:r>
      <w:r>
        <w:t>[6]</w:t>
      </w:r>
      <w:r>
        <w:fldChar w:fldCharType="end"/>
      </w:r>
      <w:r>
        <w:t xml:space="preserve">) show that the system performance without LBT is on par, or even better, than with LBT. This can be explained by the fact that the inherent use of narrow beams and the large path loss significantly reduces the probability of interference. </w:t>
      </w:r>
    </w:p>
    <w:p w14:paraId="0B63B422" w14:textId="15FE479A" w:rsidR="00384790" w:rsidRDefault="00384790">
      <w:r>
        <w:t xml:space="preserve">In addition, recent updates to draft </w:t>
      </w:r>
      <w:r w:rsidRPr="00EB27C8">
        <w:t>EN 302 567 v2.2.0</w:t>
      </w:r>
      <w:r>
        <w:t xml:space="preserve"> include a clause for Short Control Signaling. Based on this we include </w:t>
      </w:r>
      <w:r>
        <w:fldChar w:fldCharType="begin"/>
      </w:r>
      <w:r>
        <w:instrText xml:space="preserve"> REF _Ref61765508 \r \h </w:instrText>
      </w:r>
      <w:r>
        <w:fldChar w:fldCharType="separate"/>
      </w:r>
      <w:r w:rsidR="00823116">
        <w:t>Proposal 7</w:t>
      </w:r>
      <w:r>
        <w:fldChar w:fldCharType="end"/>
      </w:r>
      <w:r>
        <w:t xml:space="preserve"> in Section 2.1.4 in which we propose that PRACH is classified as Short control signaling consistent with </w:t>
      </w:r>
      <w:r w:rsidRPr="00EB27C8">
        <w:t>EN 302 567 v2.2.0</w:t>
      </w:r>
      <w:r>
        <w:t>. With such classification, it is not necessary to optimize the PRACH design by introducing gaps between consecutive PRACH occasions</w:t>
      </w:r>
      <w:r w:rsidR="00B639F5">
        <w:t xml:space="preserve"> within a PRACH slot since in almost all scenarios, LBT will not be required prior to PRACH transmission</w:t>
      </w:r>
      <w:r>
        <w:t>. In addition, this allows a design that is common between licensed and unlicensed operation (both with and without LBT).</w:t>
      </w:r>
    </w:p>
    <w:p w14:paraId="7AA90976" w14:textId="5A046F10" w:rsidR="00384790" w:rsidRPr="005C5033" w:rsidRDefault="00384790" w:rsidP="002E0B19">
      <w:pPr>
        <w:pStyle w:val="Observation"/>
        <w:ind w:left="1710" w:hanging="1710"/>
      </w:pPr>
      <w:bookmarkStart w:id="47" w:name="_Toc68549377"/>
      <w:r>
        <w:t xml:space="preserve">It is not necessary to optimize </w:t>
      </w:r>
      <w:r w:rsidR="00B639F5">
        <w:t>PRACH design to allow for gaps between consecutive PRACH occasions within a PRACH slot</w:t>
      </w:r>
      <w:r>
        <w:t xml:space="preserve">, especially since </w:t>
      </w:r>
      <w:r w:rsidR="002E0B19">
        <w:t xml:space="preserve">PRACH </w:t>
      </w:r>
      <w:r>
        <w:t>can be classified as short control signaling transmissions consistent with EN 302 567</w:t>
      </w:r>
      <w:r w:rsidR="00F010E9">
        <w:t xml:space="preserve"> (see </w:t>
      </w:r>
      <w:r w:rsidR="00F010E9">
        <w:fldChar w:fldCharType="begin"/>
      </w:r>
      <w:r w:rsidR="00F010E9">
        <w:instrText xml:space="preserve"> REF _Ref68609309 \r \h </w:instrText>
      </w:r>
      <w:r w:rsidR="00F010E9">
        <w:fldChar w:fldCharType="separate"/>
      </w:r>
      <w:r w:rsidR="00F010E9">
        <w:t>Proposal 7</w:t>
      </w:r>
      <w:r w:rsidR="00F010E9">
        <w:fldChar w:fldCharType="end"/>
      </w:r>
      <w:r w:rsidR="00F010E9">
        <w:t>)</w:t>
      </w:r>
      <w:r>
        <w:t>.</w:t>
      </w:r>
      <w:bookmarkEnd w:id="47"/>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9A797B" w14:textId="77777777" w:rsidR="002E0B19"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8549371" w:history="1">
        <w:r w:rsidR="002E0B19" w:rsidRPr="00571447">
          <w:rPr>
            <w:rStyle w:val="Hyperlink"/>
            <w:noProof/>
          </w:rPr>
          <w:t>Observation 1</w:t>
        </w:r>
        <w:r w:rsidR="002E0B19">
          <w:rPr>
            <w:rFonts w:asciiTheme="minorHAnsi" w:eastAsiaTheme="minorEastAsia" w:hAnsiTheme="minorHAnsi"/>
            <w:b w:val="0"/>
            <w:noProof/>
            <w:sz w:val="22"/>
            <w:lang w:eastAsia="en-US"/>
          </w:rPr>
          <w:tab/>
        </w:r>
        <w:r w:rsidR="002E0B19" w:rsidRPr="00571447">
          <w:rPr>
            <w:rStyle w:val="Hyperlink"/>
            <w:noProof/>
          </w:rPr>
          <w:t>Putting cells with low/high SCS in different timing advance groups allows timing to be adjusted independently. For mixed numerology operation, using 240 kHz SS/PBCH block allows a similar relative UE initial error requirement as for FR1 even for data channels operating on 960 kHz.</w:t>
        </w:r>
      </w:hyperlink>
    </w:p>
    <w:p w14:paraId="73335CEA"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2" w:history="1">
        <w:r w:rsidR="002E0B19" w:rsidRPr="00571447">
          <w:rPr>
            <w:rStyle w:val="Hyperlink"/>
            <w:noProof/>
          </w:rPr>
          <w:t>Observation 2</w:t>
        </w:r>
        <w:r w:rsidR="002E0B19">
          <w:rPr>
            <w:rFonts w:asciiTheme="minorHAnsi" w:eastAsiaTheme="minorEastAsia" w:hAnsiTheme="minorHAnsi"/>
            <w:b w:val="0"/>
            <w:noProof/>
            <w:sz w:val="22"/>
            <w:lang w:eastAsia="en-US"/>
          </w:rPr>
          <w:tab/>
        </w:r>
        <w:r w:rsidR="002E0B19" w:rsidRPr="00571447">
          <w:rPr>
            <w:rStyle w:val="Hyperlink"/>
            <w:noProof/>
          </w:rPr>
          <w:t>Using a fixed channel design, the UE SSB search complexity when supporting both 120 and 240 kHz SSB for initial access is less than the legacy FR2 search complexity.</w:t>
        </w:r>
      </w:hyperlink>
    </w:p>
    <w:p w14:paraId="1480792B"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3" w:history="1">
        <w:r w:rsidR="002E0B19" w:rsidRPr="00571447">
          <w:rPr>
            <w:rStyle w:val="Hyperlink"/>
            <w:noProof/>
          </w:rPr>
          <w:t>Observation 3</w:t>
        </w:r>
        <w:r w:rsidR="002E0B19">
          <w:rPr>
            <w:rFonts w:asciiTheme="minorHAnsi" w:eastAsiaTheme="minorEastAsia" w:hAnsiTheme="minorHAnsi"/>
            <w:b w:val="0"/>
            <w:noProof/>
            <w:sz w:val="22"/>
            <w:lang w:eastAsia="en-US"/>
          </w:rPr>
          <w:tab/>
        </w:r>
        <w:r w:rsidR="002E0B19" w:rsidRPr="00571447">
          <w:rPr>
            <w:rStyle w:val="Hyperlink"/>
            <w:noProof/>
          </w:rPr>
          <w:t>It is not necessary to optimize the SS/PBCH transmission/reception mechanism by introducing a transmission window, especially since SS/PBCH blocks most of the time can be classified as short control signaling transmissions consistent with EN 302 567.</w:t>
        </w:r>
      </w:hyperlink>
    </w:p>
    <w:p w14:paraId="1FB5195A"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4" w:history="1">
        <w:r w:rsidR="002E0B19" w:rsidRPr="00571447">
          <w:rPr>
            <w:rStyle w:val="Hyperlink"/>
            <w:noProof/>
            <w:lang w:val="en-GB"/>
          </w:rPr>
          <w:t>Observation 4</w:t>
        </w:r>
        <w:r w:rsidR="002E0B19">
          <w:rPr>
            <w:rFonts w:asciiTheme="minorHAnsi" w:eastAsiaTheme="minorEastAsia" w:hAnsiTheme="minorHAnsi"/>
            <w:b w:val="0"/>
            <w:noProof/>
            <w:sz w:val="22"/>
            <w:lang w:eastAsia="en-US"/>
          </w:rPr>
          <w:tab/>
        </w:r>
        <w:r w:rsidR="002E0B19" w:rsidRPr="00571447">
          <w:rPr>
            <w:rStyle w:val="Hyperlink"/>
            <w:noProof/>
            <w:lang w:val="en-GB"/>
          </w:rPr>
          <w:t>If a DBTW is supported, the Rel-16 way of signaling the QCL relation (the parameter Q) in MIB does not seem feasible for this frequency range.</w:t>
        </w:r>
      </w:hyperlink>
    </w:p>
    <w:p w14:paraId="019A440D"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5" w:history="1">
        <w:r w:rsidR="002E0B19" w:rsidRPr="00571447">
          <w:rPr>
            <w:rStyle w:val="Hyperlink"/>
            <w:rFonts w:eastAsia="DengXian" w:cs="Arial"/>
            <w:noProof/>
            <w:lang w:eastAsia="ko-KR"/>
          </w:rPr>
          <w:t>Observation 5</w:t>
        </w:r>
        <w:r w:rsidR="002E0B19">
          <w:rPr>
            <w:rFonts w:asciiTheme="minorHAnsi" w:eastAsiaTheme="minorEastAsia" w:hAnsiTheme="minorHAnsi"/>
            <w:b w:val="0"/>
            <w:noProof/>
            <w:sz w:val="22"/>
            <w:lang w:eastAsia="en-US"/>
          </w:rPr>
          <w:tab/>
        </w:r>
        <w:r w:rsidR="002E0B19" w:rsidRPr="00571447">
          <w:rPr>
            <w:rStyle w:val="Hyperlink"/>
            <w:noProof/>
          </w:rPr>
          <w:t xml:space="preserve">While </w:t>
        </w:r>
        <w:r w:rsidR="002E0B19" w:rsidRPr="00571447">
          <w:rPr>
            <w:rStyle w:val="Hyperlink"/>
            <w:rFonts w:eastAsia="DengXian" w:cs="Arial"/>
            <w:noProof/>
            <w:lang w:eastAsia="ko-KR"/>
          </w:rPr>
          <w:t>L = 139/571/1151 is beneficial for 120 kHz PRACH from a coverage perspective, the longer sequence lengths (L = 571/1151) lead to excessive PRACH bandwidth for 480/960 kHz PRACH, and are not needed in order to maximize PRACH transmission power given regulatory/UE power limits.</w:t>
        </w:r>
      </w:hyperlink>
    </w:p>
    <w:p w14:paraId="16315C99"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6" w:history="1">
        <w:r w:rsidR="002E0B19" w:rsidRPr="00571447">
          <w:rPr>
            <w:rStyle w:val="Hyperlink"/>
            <w:rFonts w:eastAsia="DengXian" w:cs="Arial"/>
            <w:noProof/>
            <w:lang w:eastAsia="ko-KR"/>
          </w:rPr>
          <w:t>Observation 6</w:t>
        </w:r>
        <w:r w:rsidR="002E0B19">
          <w:rPr>
            <w:rFonts w:asciiTheme="minorHAnsi" w:eastAsiaTheme="minorEastAsia" w:hAnsiTheme="minorHAnsi"/>
            <w:b w:val="0"/>
            <w:noProof/>
            <w:sz w:val="22"/>
            <w:lang w:eastAsia="en-US"/>
          </w:rPr>
          <w:tab/>
        </w:r>
        <w:r w:rsidR="002E0B19" w:rsidRPr="00571447">
          <w:rPr>
            <w:rStyle w:val="Hyperlink"/>
            <w:noProof/>
          </w:rPr>
          <w:t>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hyperlink>
    </w:p>
    <w:p w14:paraId="7EBA240F"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7" w:history="1">
        <w:r w:rsidR="002E0B19" w:rsidRPr="00571447">
          <w:rPr>
            <w:rStyle w:val="Hyperlink"/>
            <w:noProof/>
          </w:rPr>
          <w:t>Observation 7</w:t>
        </w:r>
        <w:r w:rsidR="002E0B19">
          <w:rPr>
            <w:rFonts w:asciiTheme="minorHAnsi" w:eastAsiaTheme="minorEastAsia" w:hAnsiTheme="minorHAnsi"/>
            <w:b w:val="0"/>
            <w:noProof/>
            <w:sz w:val="22"/>
            <w:lang w:eastAsia="en-US"/>
          </w:rPr>
          <w:tab/>
        </w:r>
        <w:r w:rsidR="002E0B19" w:rsidRPr="00571447">
          <w:rPr>
            <w:rStyle w:val="Hyperlink"/>
            <w:noProof/>
          </w:rPr>
          <w:t>It is not necessary to optimize PRACH design to allow for gaps between consecutive PRACH occasions within a PRACH slot, especially since PRACH can be classified as short control signaling transmissions consistent with EN 302 567.</w:t>
        </w:r>
      </w:hyperlink>
    </w:p>
    <w:p w14:paraId="5F69EC0F" w14:textId="46064DE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0B1600" w14:textId="77777777" w:rsidR="002E0B19"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8549378" w:history="1">
        <w:r w:rsidR="002E0B19" w:rsidRPr="00671168">
          <w:rPr>
            <w:rStyle w:val="Hyperlink"/>
            <w:noProof/>
          </w:rPr>
          <w:t>Proposal 1</w:t>
        </w:r>
        <w:r w:rsidR="002E0B19">
          <w:rPr>
            <w:rFonts w:asciiTheme="minorHAnsi" w:eastAsiaTheme="minorEastAsia" w:hAnsiTheme="minorHAnsi"/>
            <w:b w:val="0"/>
            <w:noProof/>
            <w:sz w:val="22"/>
            <w:lang w:eastAsia="en-US"/>
          </w:rPr>
          <w:tab/>
        </w:r>
        <w:r w:rsidR="002E0B19" w:rsidRPr="00671168">
          <w:rPr>
            <w:rStyle w:val="Hyperlink"/>
            <w:noProof/>
          </w:rPr>
          <w:t>For cases other than initial access (e.g. for an SCell / PSCell), support 480 and 960 kHz SCS for SS/PBCH block.</w:t>
        </w:r>
      </w:hyperlink>
    </w:p>
    <w:p w14:paraId="3257E387"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79" w:history="1">
        <w:r w:rsidR="002E0B19" w:rsidRPr="00671168">
          <w:rPr>
            <w:rStyle w:val="Hyperlink"/>
            <w:noProof/>
          </w:rPr>
          <w:t>Proposal 2</w:t>
        </w:r>
        <w:r w:rsidR="002E0B19">
          <w:rPr>
            <w:rFonts w:asciiTheme="minorHAnsi" w:eastAsiaTheme="minorEastAsia" w:hAnsiTheme="minorHAnsi"/>
            <w:b w:val="0"/>
            <w:noProof/>
            <w:sz w:val="22"/>
            <w:lang w:eastAsia="en-US"/>
          </w:rPr>
          <w:tab/>
        </w:r>
        <w:r w:rsidR="002E0B19" w:rsidRPr="00671168">
          <w:rPr>
            <w:rStyle w:val="Hyperlink"/>
            <w:noProof/>
          </w:rPr>
          <w:t>Like for FR2 in Rel-15/16, for initial access (PCell), support the following SCS combination in an initial BWP: 240 kHz SCS for SS/PBCH block + 120 kHz SCS for initial access related signals/channels.</w:t>
        </w:r>
      </w:hyperlink>
    </w:p>
    <w:p w14:paraId="70C0909A"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0" w:history="1">
        <w:r w:rsidR="002E0B19" w:rsidRPr="00671168">
          <w:rPr>
            <w:rStyle w:val="Hyperlink"/>
            <w:noProof/>
          </w:rPr>
          <w:t>Proposal 3</w:t>
        </w:r>
        <w:r w:rsidR="002E0B19">
          <w:rPr>
            <w:rFonts w:asciiTheme="minorHAnsi" w:eastAsiaTheme="minorEastAsia" w:hAnsiTheme="minorHAnsi"/>
            <w:b w:val="0"/>
            <w:noProof/>
            <w:sz w:val="22"/>
            <w:lang w:eastAsia="en-US"/>
          </w:rPr>
          <w:tab/>
        </w:r>
        <w:r w:rsidR="002E0B19" w:rsidRPr="00671168">
          <w:rPr>
            <w:rStyle w:val="Hyperlink"/>
            <w:noProof/>
          </w:rPr>
          <w:t>For the case when {SS/PBCH block, PDCCH} SCS is {120, 120} kHz, Table 13.8 in 38.213 can be used for operation in 57 – 71 GHz.</w:t>
        </w:r>
      </w:hyperlink>
    </w:p>
    <w:p w14:paraId="267846A1"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1" w:history="1">
        <w:r w:rsidR="002E0B19" w:rsidRPr="00671168">
          <w:rPr>
            <w:rStyle w:val="Hyperlink"/>
            <w:noProof/>
          </w:rPr>
          <w:t>Proposal 4</w:t>
        </w:r>
        <w:r w:rsidR="002E0B19">
          <w:rPr>
            <w:rFonts w:asciiTheme="minorHAnsi" w:eastAsiaTheme="minorEastAsia" w:hAnsiTheme="minorHAnsi"/>
            <w:b w:val="0"/>
            <w:noProof/>
            <w:sz w:val="22"/>
            <w:lang w:eastAsia="en-US"/>
          </w:rPr>
          <w:tab/>
        </w:r>
        <w:r w:rsidR="002E0B19" w:rsidRPr="00671168">
          <w:rPr>
            <w:rStyle w:val="Hyperlink"/>
            <w:noProof/>
          </w:rPr>
          <w:t>For the case when {SS/PBCH, PDCCH} SCS is {240, 120} kHz, Table 13-10 in 38.13 can be used for operation in 57 – 71 GHz.</w:t>
        </w:r>
      </w:hyperlink>
    </w:p>
    <w:p w14:paraId="6F3A4A81"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2" w:history="1">
        <w:r w:rsidR="002E0B19" w:rsidRPr="00671168">
          <w:rPr>
            <w:rStyle w:val="Hyperlink"/>
            <w:noProof/>
            <w:lang w:val="en-GB"/>
          </w:rPr>
          <w:t>Proposal 5</w:t>
        </w:r>
        <w:r w:rsidR="002E0B19">
          <w:rPr>
            <w:rFonts w:asciiTheme="minorHAnsi" w:eastAsiaTheme="minorEastAsia" w:hAnsiTheme="minorHAnsi"/>
            <w:b w:val="0"/>
            <w:noProof/>
            <w:sz w:val="22"/>
            <w:lang w:eastAsia="en-US"/>
          </w:rPr>
          <w:tab/>
        </w:r>
        <w:r w:rsidR="002E0B19" w:rsidRPr="00671168">
          <w:rPr>
            <w:rStyle w:val="Hyperlink"/>
            <w:noProof/>
            <w:lang w:val="en-GB"/>
          </w:rPr>
          <w:t>Use the FR2 Case D pattern for time domain pattern for SSB transmissions with 480 kHz and 960 kHz SCS.</w:t>
        </w:r>
      </w:hyperlink>
    </w:p>
    <w:p w14:paraId="2A4923A9"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3" w:history="1">
        <w:r w:rsidR="002E0B19" w:rsidRPr="00671168">
          <w:rPr>
            <w:rStyle w:val="Hyperlink"/>
            <w:noProof/>
          </w:rPr>
          <w:t>Proposal 6</w:t>
        </w:r>
        <w:r w:rsidR="002E0B19">
          <w:rPr>
            <w:rFonts w:asciiTheme="minorHAnsi" w:eastAsiaTheme="minorEastAsia" w:hAnsiTheme="minorHAnsi"/>
            <w:b w:val="0"/>
            <w:noProof/>
            <w:sz w:val="22"/>
            <w:lang w:eastAsia="en-US"/>
          </w:rPr>
          <w:tab/>
        </w:r>
        <w:r w:rsidR="002E0B19" w:rsidRPr="00671168">
          <w:rPr>
            <w:rStyle w:val="Hyperlink"/>
            <w:noProof/>
          </w:rPr>
          <w:t>Reuse the definition of the Rel-16 discovery burst (DB) also for the 52.6-71 GHz frequency range.</w:t>
        </w:r>
      </w:hyperlink>
    </w:p>
    <w:p w14:paraId="52E9DA58"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4" w:history="1">
        <w:r w:rsidR="002E0B19" w:rsidRPr="00671168">
          <w:rPr>
            <w:rStyle w:val="Hyperlink"/>
            <w:noProof/>
          </w:rPr>
          <w:t>Proposal 7</w:t>
        </w:r>
        <w:r w:rsidR="002E0B19">
          <w:rPr>
            <w:rFonts w:asciiTheme="minorHAnsi" w:eastAsiaTheme="minorEastAsia" w:hAnsiTheme="minorHAnsi"/>
            <w:b w:val="0"/>
            <w:noProof/>
            <w:sz w:val="22"/>
            <w:lang w:eastAsia="en-US"/>
          </w:rPr>
          <w:tab/>
        </w:r>
        <w:r w:rsidR="002E0B19" w:rsidRPr="00671168">
          <w:rPr>
            <w:rStyle w:val="Hyperlink"/>
            <w:noProof/>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hyperlink>
    </w:p>
    <w:p w14:paraId="706A3489"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5" w:history="1">
        <w:r w:rsidR="002E0B19" w:rsidRPr="00671168">
          <w:rPr>
            <w:rStyle w:val="Hyperlink"/>
            <w:noProof/>
          </w:rPr>
          <w:t>a.</w:t>
        </w:r>
        <w:r w:rsidR="002E0B19">
          <w:rPr>
            <w:rFonts w:asciiTheme="minorHAnsi" w:eastAsiaTheme="minorEastAsia" w:hAnsiTheme="minorHAnsi"/>
            <w:b w:val="0"/>
            <w:noProof/>
            <w:sz w:val="22"/>
            <w:lang w:eastAsia="en-US"/>
          </w:rPr>
          <w:tab/>
        </w:r>
        <w:r w:rsidR="002E0B19" w:rsidRPr="00671168">
          <w:rPr>
            <w:rStyle w:val="Hyperlink"/>
            <w:noProof/>
          </w:rPr>
          <w:t>Discovery burst (as defined in Rel-16)</w:t>
        </w:r>
      </w:hyperlink>
    </w:p>
    <w:p w14:paraId="356E726B"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6" w:history="1">
        <w:r w:rsidR="002E0B19" w:rsidRPr="00671168">
          <w:rPr>
            <w:rStyle w:val="Hyperlink"/>
            <w:noProof/>
          </w:rPr>
          <w:t>b.</w:t>
        </w:r>
        <w:r w:rsidR="002E0B19">
          <w:rPr>
            <w:rFonts w:asciiTheme="minorHAnsi" w:eastAsiaTheme="minorEastAsia" w:hAnsiTheme="minorHAnsi"/>
            <w:b w:val="0"/>
            <w:noProof/>
            <w:sz w:val="22"/>
            <w:lang w:eastAsia="en-US"/>
          </w:rPr>
          <w:tab/>
        </w:r>
        <w:r w:rsidR="002E0B19" w:rsidRPr="00671168">
          <w:rPr>
            <w:rStyle w:val="Hyperlink"/>
            <w:noProof/>
            <w:lang w:eastAsia="en-US"/>
          </w:rPr>
          <w:t>msg1 and msg3 for the 4 step RACH and MsgA for the 2-step RACH</w:t>
        </w:r>
      </w:hyperlink>
    </w:p>
    <w:p w14:paraId="69283614"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7" w:history="1">
        <w:r w:rsidR="002E0B19" w:rsidRPr="00671168">
          <w:rPr>
            <w:rStyle w:val="Hyperlink"/>
            <w:noProof/>
          </w:rPr>
          <w:t>c.</w:t>
        </w:r>
        <w:r w:rsidR="002E0B19">
          <w:rPr>
            <w:rFonts w:asciiTheme="minorHAnsi" w:eastAsiaTheme="minorEastAsia" w:hAnsiTheme="minorHAnsi"/>
            <w:b w:val="0"/>
            <w:noProof/>
            <w:sz w:val="22"/>
            <w:lang w:eastAsia="en-US"/>
          </w:rPr>
          <w:tab/>
        </w:r>
        <w:r w:rsidR="002E0B19" w:rsidRPr="00671168">
          <w:rPr>
            <w:rStyle w:val="Hyperlink"/>
            <w:noProof/>
          </w:rPr>
          <w:t>FFS: Other control transmissions not multiplexed with user data (subject to gNB configuration)</w:t>
        </w:r>
      </w:hyperlink>
    </w:p>
    <w:p w14:paraId="46AF9AD8"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8" w:history="1">
        <w:r w:rsidR="002E0B19" w:rsidRPr="00671168">
          <w:rPr>
            <w:rStyle w:val="Hyperlink"/>
            <w:rFonts w:eastAsia="DengXian" w:cs="Arial"/>
            <w:noProof/>
            <w:lang w:eastAsia="ko-KR"/>
          </w:rPr>
          <w:t>Proposal 8</w:t>
        </w:r>
        <w:r w:rsidR="002E0B19">
          <w:rPr>
            <w:rFonts w:asciiTheme="minorHAnsi" w:eastAsiaTheme="minorEastAsia" w:hAnsiTheme="minorHAnsi"/>
            <w:b w:val="0"/>
            <w:noProof/>
            <w:sz w:val="22"/>
            <w:lang w:eastAsia="en-US"/>
          </w:rPr>
          <w:tab/>
        </w:r>
        <w:r w:rsidR="002E0B19" w:rsidRPr="00671168">
          <w:rPr>
            <w:rStyle w:val="Hyperlink"/>
            <w:rFonts w:eastAsia="DengXian" w:cs="Arial"/>
            <w:noProof/>
            <w:lang w:eastAsia="ko-KR"/>
          </w:rPr>
          <w:t>For cases other than initial access (e.g. for a SCell or PSCell), if SS/PBCH block with 480 and 960 kHz SCS is supported, support PRACH with the same SCS as the UL BWP.</w:t>
        </w:r>
      </w:hyperlink>
    </w:p>
    <w:p w14:paraId="59D43ACA"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89" w:history="1">
        <w:r w:rsidR="002E0B19" w:rsidRPr="00671168">
          <w:rPr>
            <w:rStyle w:val="Hyperlink"/>
            <w:rFonts w:eastAsia="DengXian" w:cs="Arial"/>
            <w:noProof/>
            <w:lang w:eastAsia="ko-KR"/>
          </w:rPr>
          <w:t>Proposal 9</w:t>
        </w:r>
        <w:r w:rsidR="002E0B19">
          <w:rPr>
            <w:rFonts w:asciiTheme="minorHAnsi" w:eastAsiaTheme="minorEastAsia" w:hAnsiTheme="minorHAnsi"/>
            <w:b w:val="0"/>
            <w:noProof/>
            <w:sz w:val="22"/>
            <w:lang w:eastAsia="en-US"/>
          </w:rPr>
          <w:tab/>
        </w:r>
        <w:r w:rsidR="002E0B19" w:rsidRPr="00671168">
          <w:rPr>
            <w:rStyle w:val="Hyperlink"/>
            <w:noProof/>
          </w:rPr>
          <w:t>Specify support for all sequen</w:t>
        </w:r>
        <w:r w:rsidR="002E0B19" w:rsidRPr="00671168">
          <w:rPr>
            <w:rStyle w:val="Hyperlink"/>
            <w:rFonts w:eastAsia="DengXian" w:cs="Arial"/>
            <w:noProof/>
            <w:lang w:eastAsia="ko-KR"/>
          </w:rPr>
          <w:t>ce lengths (139/571/1151) for 120 kHz PRACH. For 480/960 kHz PRACH, specify support for only L = 139.</w:t>
        </w:r>
      </w:hyperlink>
    </w:p>
    <w:p w14:paraId="3DE04DEB"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90" w:history="1">
        <w:r w:rsidR="002E0B19" w:rsidRPr="00671168">
          <w:rPr>
            <w:rStyle w:val="Hyperlink"/>
            <w:rFonts w:eastAsia="DengXian" w:cs="Arial"/>
            <w:noProof/>
            <w:lang w:eastAsia="ko-KR"/>
          </w:rPr>
          <w:t>Proposal 10</w:t>
        </w:r>
        <w:r w:rsidR="002E0B19">
          <w:rPr>
            <w:rFonts w:asciiTheme="minorHAnsi" w:eastAsiaTheme="minorEastAsia" w:hAnsiTheme="minorHAnsi"/>
            <w:b w:val="0"/>
            <w:noProof/>
            <w:sz w:val="22"/>
            <w:lang w:eastAsia="en-US"/>
          </w:rPr>
          <w:tab/>
        </w:r>
        <w:r w:rsidR="002E0B19" w:rsidRPr="00671168">
          <w:rPr>
            <w:rStyle w:val="Hyperlink"/>
            <w:rFonts w:eastAsia="DengXian" w:cs="Arial"/>
            <w:noProof/>
            <w:lang w:eastAsia="ko-KR"/>
          </w:rPr>
          <w:t>For 480/960 kHz PRACH, support PRACH configurations that allow maintaining the same PRACH processing load (operations/unit time) as for 120 kHz PRACH configurations.</w:t>
        </w:r>
      </w:hyperlink>
    </w:p>
    <w:p w14:paraId="611A17D8"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91" w:history="1">
        <w:r w:rsidR="002E0B19" w:rsidRPr="00671168">
          <w:rPr>
            <w:rStyle w:val="Hyperlink"/>
            <w:rFonts w:eastAsia="DengXian" w:cs="Arial"/>
            <w:noProof/>
            <w:lang w:eastAsia="ko-KR"/>
          </w:rPr>
          <w:t>Proposal 11</w:t>
        </w:r>
        <w:r w:rsidR="002E0B19">
          <w:rPr>
            <w:rFonts w:asciiTheme="minorHAnsi" w:eastAsiaTheme="minorEastAsia" w:hAnsiTheme="minorHAnsi"/>
            <w:b w:val="0"/>
            <w:noProof/>
            <w:sz w:val="22"/>
            <w:lang w:eastAsia="en-US"/>
          </w:rPr>
          <w:tab/>
        </w:r>
        <w:r w:rsidR="002E0B19" w:rsidRPr="00671168">
          <w:rPr>
            <w:rStyle w:val="Hyperlink"/>
            <w:noProof/>
          </w:rPr>
          <w:t>To fulfill Proposal 8, support configuration of PRACH occasion(s) in only 1 or 2 480/960 kHz slots within a 60 kHz reference slot.</w:t>
        </w:r>
      </w:hyperlink>
    </w:p>
    <w:p w14:paraId="4111B3C1" w14:textId="77777777" w:rsidR="002E0B19" w:rsidRDefault="007A5CC6">
      <w:pPr>
        <w:pStyle w:val="TableofFigures"/>
        <w:tabs>
          <w:tab w:val="right" w:leader="dot" w:pos="9629"/>
        </w:tabs>
        <w:rPr>
          <w:rFonts w:asciiTheme="minorHAnsi" w:eastAsiaTheme="minorEastAsia" w:hAnsiTheme="minorHAnsi"/>
          <w:b w:val="0"/>
          <w:noProof/>
          <w:sz w:val="22"/>
          <w:lang w:eastAsia="en-US"/>
        </w:rPr>
      </w:pPr>
      <w:hyperlink w:anchor="_Toc68549392" w:history="1">
        <w:r w:rsidR="002E0B19" w:rsidRPr="00671168">
          <w:rPr>
            <w:rStyle w:val="Hyperlink"/>
            <w:rFonts w:eastAsia="DengXian" w:cs="Arial"/>
            <w:noProof/>
            <w:lang w:eastAsia="ko-KR"/>
          </w:rPr>
          <w:t>Proposal 12</w:t>
        </w:r>
        <w:r w:rsidR="002E0B19">
          <w:rPr>
            <w:rFonts w:asciiTheme="minorHAnsi" w:eastAsiaTheme="minorEastAsia" w:hAnsiTheme="minorHAnsi"/>
            <w:b w:val="0"/>
            <w:noProof/>
            <w:sz w:val="22"/>
            <w:lang w:eastAsia="en-US"/>
          </w:rPr>
          <w:tab/>
        </w:r>
        <w:r w:rsidR="002E0B19" w:rsidRPr="00671168">
          <w:rPr>
            <w:rStyle w:val="Hyperlink"/>
            <w:noProof/>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hyperlink>
    </w:p>
    <w:p w14:paraId="747C743C" w14:textId="5F29B75F"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48" w:name="_In-sequence_SDU_delivery"/>
      <w:bookmarkEnd w:id="48"/>
      <w:r w:rsidRPr="00CE0424">
        <w:t>References</w:t>
      </w:r>
    </w:p>
    <w:p w14:paraId="70887E27" w14:textId="0CEB2146" w:rsidR="00F86CEB" w:rsidRDefault="00F86CEB" w:rsidP="00F86CEB">
      <w:pPr>
        <w:pStyle w:val="Reference"/>
      </w:pPr>
      <w:bookmarkStart w:id="49" w:name="_Ref60753713"/>
      <w:r>
        <w:t>R1-202925, "</w:t>
      </w:r>
      <w:r w:rsidRPr="00AF56A8">
        <w:t>Revised WID</w:t>
      </w:r>
      <w:r>
        <w:t xml:space="preserve"> </w:t>
      </w:r>
      <w:r w:rsidRPr="00AF56A8">
        <w:t>on Extending current NR operation to 71 GHz</w:t>
      </w:r>
      <w:r>
        <w:t>"</w:t>
      </w:r>
      <w:r w:rsidR="009D2848">
        <w:t>,</w:t>
      </w:r>
      <w:r>
        <w:t xml:space="preserve"> CMCC, RAN#90-e, December 2020.</w:t>
      </w:r>
      <w:bookmarkEnd w:id="49"/>
    </w:p>
    <w:p w14:paraId="08277742" w14:textId="404B3CB8" w:rsidR="002E45A0" w:rsidRDefault="0061451B" w:rsidP="002E45A0">
      <w:pPr>
        <w:pStyle w:val="Reference"/>
      </w:pPr>
      <w:bookmarkStart w:id="50" w:name="_Ref60847000"/>
      <w:r>
        <w:t>3GPP TS 38.101-2, "User Equipment (UE) radio transmission and reception; Part 2: Range 2 Standalone"</w:t>
      </w:r>
      <w:r w:rsidR="009D2848">
        <w:t>,</w:t>
      </w:r>
      <w:r>
        <w:t xml:space="preserve"> v16.5.0 September 2020.</w:t>
      </w:r>
      <w:bookmarkEnd w:id="50"/>
    </w:p>
    <w:p w14:paraId="200E4054" w14:textId="491902C5" w:rsidR="00B46C01" w:rsidRDefault="00B46C01" w:rsidP="002E45A0">
      <w:pPr>
        <w:pStyle w:val="Reference"/>
      </w:pPr>
      <w:bookmarkStart w:id="51" w:name="_Ref60993913"/>
      <w:r>
        <w:t>3GPP TS 38.213, “Physical layer procedures for control”, v16.3.0 September 2020.</w:t>
      </w:r>
      <w:bookmarkEnd w:id="51"/>
    </w:p>
    <w:p w14:paraId="5F8C11B0" w14:textId="17374C74" w:rsidR="0013466F" w:rsidRDefault="0013466F" w:rsidP="002E45A0">
      <w:pPr>
        <w:pStyle w:val="Reference"/>
      </w:pPr>
      <w:bookmarkStart w:id="52" w:name="_Ref61010403"/>
      <w:r>
        <w:t>3GPP TS 38.211, “Physical channels and modulation”, v16.3.0 September 2020.</w:t>
      </w:r>
      <w:bookmarkEnd w:id="52"/>
    </w:p>
    <w:p w14:paraId="2CCEEF53" w14:textId="22D6D073" w:rsidR="00BD3F19" w:rsidRDefault="00BD3F19" w:rsidP="00BD3F19">
      <w:pPr>
        <w:pStyle w:val="Reference"/>
      </w:pPr>
      <w:bookmarkStart w:id="53" w:name="_Ref46231781"/>
      <w:bookmarkStart w:id="54" w:name="_Ref46490548"/>
      <w:bookmarkStart w:id="55" w:name="_Ref52864098"/>
      <w:r w:rsidRPr="00750160">
        <w:t>R1-</w:t>
      </w:r>
      <w:r w:rsidR="00750160" w:rsidRPr="00750160">
        <w:t xml:space="preserve"> 210</w:t>
      </w:r>
      <w:r w:rsidR="00C07CC0">
        <w:t>2793</w:t>
      </w:r>
      <w:r>
        <w:t>, "Channel access mechanism</w:t>
      </w:r>
      <w:bookmarkEnd w:id="53"/>
      <w:r>
        <w:t>"</w:t>
      </w:r>
      <w:r w:rsidR="009D2848">
        <w:t>,</w:t>
      </w:r>
      <w:r>
        <w:t xml:space="preserve"> Ericsson</w:t>
      </w:r>
      <w:bookmarkEnd w:id="54"/>
      <w:r>
        <w:t>, RAN1#104</w:t>
      </w:r>
      <w:r w:rsidR="00C07CC0">
        <w:t>b</w:t>
      </w:r>
      <w:r>
        <w:t xml:space="preserve">-e, </w:t>
      </w:r>
      <w:r w:rsidR="00C07CC0">
        <w:rPr>
          <w:rFonts w:cs="Arial"/>
          <w:bCs/>
        </w:rPr>
        <w:t>April</w:t>
      </w:r>
      <w:r>
        <w:t xml:space="preserve"> 2021.</w:t>
      </w:r>
      <w:bookmarkEnd w:id="55"/>
    </w:p>
    <w:p w14:paraId="70E8CAB4" w14:textId="3B6CD81F" w:rsidR="00BD3F19" w:rsidRPr="00983772" w:rsidRDefault="00BD3F19" w:rsidP="00BD3F19">
      <w:pPr>
        <w:pStyle w:val="Reference"/>
        <w:rPr>
          <w:szCs w:val="20"/>
        </w:rPr>
      </w:pPr>
      <w:bookmarkStart w:id="56" w:name="_Ref61360516"/>
      <w:r w:rsidRPr="00983772">
        <w:rPr>
          <w:szCs w:val="20"/>
        </w:rPr>
        <w:t>TR 38.808, “</w:t>
      </w:r>
      <w:r w:rsidRPr="00983772">
        <w:rPr>
          <w:rFonts w:cs="Arial"/>
          <w:color w:val="000000"/>
          <w:szCs w:val="20"/>
        </w:rPr>
        <w:t>Study on supporting NR from 52.6 GHz to 71 GHz</w:t>
      </w:r>
      <w:r w:rsidRPr="00983772">
        <w:rPr>
          <w:szCs w:val="20"/>
        </w:rPr>
        <w:t>”</w:t>
      </w:r>
      <w:r w:rsidR="00992946" w:rsidRPr="00983772">
        <w:rPr>
          <w:szCs w:val="20"/>
        </w:rPr>
        <w:t>, v1.0.0, November 2020.</w:t>
      </w:r>
      <w:bookmarkEnd w:id="56"/>
    </w:p>
    <w:p w14:paraId="59ABE232" w14:textId="6B8BA23D" w:rsidR="0013466F" w:rsidRDefault="008655CF" w:rsidP="002E45A0">
      <w:pPr>
        <w:pStyle w:val="Reference"/>
      </w:pPr>
      <w:bookmarkStart w:id="57" w:name="_Ref61361737"/>
      <w:r w:rsidRPr="008655CF">
        <w:t>R1-2007982</w:t>
      </w:r>
      <w:r w:rsidR="00983772">
        <w:t>, ”On</w:t>
      </w:r>
      <w:r w:rsidRPr="008655CF">
        <w:t xml:space="preserve"> NR operations in 52.6 to 71 GHz</w:t>
      </w:r>
      <w:r>
        <w:t>”, Ericsson, RAN1#103-e, November 2020.</w:t>
      </w:r>
      <w:bookmarkEnd w:id="57"/>
    </w:p>
    <w:p w14:paraId="77D911F2" w14:textId="34ADFCBC" w:rsidR="0013466F" w:rsidRPr="00B24963" w:rsidRDefault="00F35876" w:rsidP="002E45A0">
      <w:pPr>
        <w:pStyle w:val="Reference"/>
      </w:pPr>
      <w:r w:rsidDel="00F35876">
        <w:t>R4-2101863, “</w:t>
      </w:r>
      <w:r w:rsidRPr="00F35876" w:rsidDel="00F35876">
        <w:rPr>
          <w:rFonts w:cs="Arial"/>
        </w:rPr>
        <w:t>TP for NR Rel-17 TR 38.808: Time and synchronization impact”, RAN4#98-e, January 2021</w:t>
      </w:r>
    </w:p>
    <w:p w14:paraId="11C5936A" w14:textId="7C22D357" w:rsidR="0013466F" w:rsidRDefault="005F3606" w:rsidP="002E45A0">
      <w:pPr>
        <w:pStyle w:val="Reference"/>
      </w:pPr>
      <w:bookmarkStart w:id="58" w:name="_Ref67064492"/>
      <w:bookmarkStart w:id="59" w:name="_Ref67478663"/>
      <w:r>
        <w:t>R1-</w:t>
      </w:r>
      <w:bookmarkEnd w:id="58"/>
      <w:r>
        <w:t>21</w:t>
      </w:r>
      <w:r w:rsidR="00F67556">
        <w:t>02794</w:t>
      </w:r>
      <w:r>
        <w:t xml:space="preserve">, </w:t>
      </w:r>
      <w:r w:rsidR="00C07CC0">
        <w:t>“</w:t>
      </w:r>
      <w:r w:rsidR="008D21D1">
        <w:t xml:space="preserve">NR channelization for 52.6 </w:t>
      </w:r>
      <w:r w:rsidR="00C07CC0">
        <w:t>–</w:t>
      </w:r>
      <w:r w:rsidR="008D21D1">
        <w:t xml:space="preserve"> 71 GHz band</w:t>
      </w:r>
      <w:r w:rsidR="00C07CC0">
        <w:t>”</w:t>
      </w:r>
      <w:r w:rsidR="008D21D1">
        <w:t>, Ericsson, RAN1#104b-e, April 2021.</w:t>
      </w:r>
      <w:bookmarkEnd w:id="59"/>
      <w:r w:rsidR="0052033C">
        <w:t xml:space="preserve"> </w:t>
      </w:r>
    </w:p>
    <w:p w14:paraId="12DB230D" w14:textId="0A486621" w:rsidR="0013466F" w:rsidRPr="00CE0424" w:rsidRDefault="00B82F93" w:rsidP="002E45A0">
      <w:pPr>
        <w:pStyle w:val="Reference"/>
      </w:pPr>
      <w:bookmarkStart w:id="60" w:name="_Ref68004703"/>
      <w:r>
        <w:t>3GPP T</w:t>
      </w:r>
      <w:r w:rsidR="00495737">
        <w:t>R</w:t>
      </w:r>
      <w:r>
        <w:t xml:space="preserve"> 38.817</w:t>
      </w:r>
      <w:r w:rsidR="00495737">
        <w:t>-02, “General aspects for Base Station (BS) Radio Frequency (RF) for NR</w:t>
      </w:r>
      <w:r w:rsidR="009D2848">
        <w:t>”</w:t>
      </w:r>
      <w:r w:rsidR="00495737">
        <w:t>, v15.9.0, Sept 2020.</w:t>
      </w:r>
      <w:bookmarkEnd w:id="60"/>
    </w:p>
    <w:sectPr w:rsidR="0013466F" w:rsidRPr="00CE0424"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6C0A1" w14:textId="77777777" w:rsidR="007A5CC6" w:rsidRDefault="007A5CC6">
      <w:r>
        <w:separator/>
      </w:r>
    </w:p>
  </w:endnote>
  <w:endnote w:type="continuationSeparator" w:id="0">
    <w:p w14:paraId="68933E78" w14:textId="77777777" w:rsidR="007A5CC6" w:rsidRDefault="007A5CC6">
      <w:r>
        <w:continuationSeparator/>
      </w:r>
    </w:p>
  </w:endnote>
  <w:endnote w:type="continuationNotice" w:id="1">
    <w:p w14:paraId="1F61142F" w14:textId="77777777" w:rsidR="007A5CC6" w:rsidRDefault="007A5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A5CC6" w:rsidRDefault="007A5C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0E098" w14:textId="77777777" w:rsidR="007A5CC6" w:rsidRDefault="007A5CC6">
      <w:r>
        <w:separator/>
      </w:r>
    </w:p>
  </w:footnote>
  <w:footnote w:type="continuationSeparator" w:id="0">
    <w:p w14:paraId="042063AA" w14:textId="77777777" w:rsidR="007A5CC6" w:rsidRDefault="007A5CC6">
      <w:r>
        <w:continuationSeparator/>
      </w:r>
    </w:p>
  </w:footnote>
  <w:footnote w:type="continuationNotice" w:id="1">
    <w:p w14:paraId="28CD44F3" w14:textId="77777777" w:rsidR="007A5CC6" w:rsidRDefault="007A5C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A5CC6" w:rsidRDefault="007A5C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281E32"/>
    <w:multiLevelType w:val="hybridMultilevel"/>
    <w:tmpl w:val="6AD26BD2"/>
    <w:lvl w:ilvl="0" w:tplc="D77E9068">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584A2E"/>
    <w:multiLevelType w:val="hybridMultilevel"/>
    <w:tmpl w:val="20E2E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6"/>
  </w:num>
  <w:num w:numId="3">
    <w:abstractNumId w:val="19"/>
  </w:num>
  <w:num w:numId="4">
    <w:abstractNumId w:val="20"/>
  </w:num>
  <w:num w:numId="5">
    <w:abstractNumId w:val="12"/>
  </w:num>
  <w:num w:numId="6">
    <w:abstractNumId w:val="23"/>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9"/>
  </w:num>
  <w:num w:numId="18">
    <w:abstractNumId w:val="10"/>
  </w:num>
  <w:num w:numId="19">
    <w:abstractNumId w:val="6"/>
  </w:num>
  <w:num w:numId="20">
    <w:abstractNumId w:val="36"/>
  </w:num>
  <w:num w:numId="21">
    <w:abstractNumId w:val="15"/>
  </w:num>
  <w:num w:numId="22">
    <w:abstractNumId w:val="32"/>
  </w:num>
  <w:num w:numId="23">
    <w:abstractNumId w:val="30"/>
  </w:num>
  <w:num w:numId="24">
    <w:abstractNumId w:val="8"/>
  </w:num>
  <w:num w:numId="25">
    <w:abstractNumId w:val="34"/>
  </w:num>
  <w:num w:numId="26">
    <w:abstractNumId w:val="13"/>
  </w:num>
  <w:num w:numId="27">
    <w:abstractNumId w:val="5"/>
  </w:num>
  <w:num w:numId="28">
    <w:abstractNumId w:val="33"/>
  </w:num>
  <w:num w:numId="29">
    <w:abstractNumId w:val="2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7"/>
  </w:num>
  <w:num w:numId="33">
    <w:abstractNumId w:val="17"/>
  </w:num>
  <w:num w:numId="34">
    <w:abstractNumId w:val="7"/>
  </w:num>
  <w:num w:numId="35">
    <w:abstractNumId w:val="4"/>
  </w:num>
  <w:num w:numId="36">
    <w:abstractNumId w:val="38"/>
  </w:num>
  <w:num w:numId="37">
    <w:abstractNumId w:val="18"/>
  </w:num>
  <w:num w:numId="38">
    <w:abstractNumId w:val="35"/>
  </w:num>
  <w:num w:numId="39">
    <w:abstractNumId w:val="25"/>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3F2"/>
    <w:rsid w:val="00011292"/>
    <w:rsid w:val="00011B28"/>
    <w:rsid w:val="0001333E"/>
    <w:rsid w:val="00015D15"/>
    <w:rsid w:val="000176AC"/>
    <w:rsid w:val="00021C98"/>
    <w:rsid w:val="00022F57"/>
    <w:rsid w:val="000237A3"/>
    <w:rsid w:val="0002444A"/>
    <w:rsid w:val="0002564D"/>
    <w:rsid w:val="00025A57"/>
    <w:rsid w:val="00025CA2"/>
    <w:rsid w:val="00025ECA"/>
    <w:rsid w:val="00031C78"/>
    <w:rsid w:val="000325B8"/>
    <w:rsid w:val="00034C15"/>
    <w:rsid w:val="00035DDD"/>
    <w:rsid w:val="00036BA1"/>
    <w:rsid w:val="0004106B"/>
    <w:rsid w:val="000416C8"/>
    <w:rsid w:val="000422E2"/>
    <w:rsid w:val="000423B5"/>
    <w:rsid w:val="00042F22"/>
    <w:rsid w:val="00043FF2"/>
    <w:rsid w:val="00044164"/>
    <w:rsid w:val="000444EF"/>
    <w:rsid w:val="000474AB"/>
    <w:rsid w:val="00052A07"/>
    <w:rsid w:val="000534E3"/>
    <w:rsid w:val="000539F3"/>
    <w:rsid w:val="00055CC9"/>
    <w:rsid w:val="0005606A"/>
    <w:rsid w:val="00057117"/>
    <w:rsid w:val="000616E7"/>
    <w:rsid w:val="00063774"/>
    <w:rsid w:val="0006465C"/>
    <w:rsid w:val="0006487E"/>
    <w:rsid w:val="0006513E"/>
    <w:rsid w:val="00065E1A"/>
    <w:rsid w:val="0007146B"/>
    <w:rsid w:val="00071D89"/>
    <w:rsid w:val="0007525E"/>
    <w:rsid w:val="00075AE0"/>
    <w:rsid w:val="00077E5F"/>
    <w:rsid w:val="00077EFA"/>
    <w:rsid w:val="0008036A"/>
    <w:rsid w:val="00081AE6"/>
    <w:rsid w:val="00084E57"/>
    <w:rsid w:val="000855EB"/>
    <w:rsid w:val="00085B52"/>
    <w:rsid w:val="00085F47"/>
    <w:rsid w:val="000862AC"/>
    <w:rsid w:val="000866F2"/>
    <w:rsid w:val="0009009F"/>
    <w:rsid w:val="00090E00"/>
    <w:rsid w:val="00091557"/>
    <w:rsid w:val="000924C1"/>
    <w:rsid w:val="000924F0"/>
    <w:rsid w:val="000931F1"/>
    <w:rsid w:val="00093474"/>
    <w:rsid w:val="0009510F"/>
    <w:rsid w:val="00096DBD"/>
    <w:rsid w:val="000A1B7B"/>
    <w:rsid w:val="000A21EB"/>
    <w:rsid w:val="000A5031"/>
    <w:rsid w:val="000A56F2"/>
    <w:rsid w:val="000A5ED3"/>
    <w:rsid w:val="000B2719"/>
    <w:rsid w:val="000B3A8F"/>
    <w:rsid w:val="000B428E"/>
    <w:rsid w:val="000B4AB9"/>
    <w:rsid w:val="000B58C3"/>
    <w:rsid w:val="000B61E9"/>
    <w:rsid w:val="000B70BF"/>
    <w:rsid w:val="000C165A"/>
    <w:rsid w:val="000C2E19"/>
    <w:rsid w:val="000C634D"/>
    <w:rsid w:val="000D03A8"/>
    <w:rsid w:val="000D0725"/>
    <w:rsid w:val="000D0B07"/>
    <w:rsid w:val="000D0D07"/>
    <w:rsid w:val="000D1CCE"/>
    <w:rsid w:val="000D3820"/>
    <w:rsid w:val="000D4797"/>
    <w:rsid w:val="000D6897"/>
    <w:rsid w:val="000E0527"/>
    <w:rsid w:val="000E1E92"/>
    <w:rsid w:val="000F0573"/>
    <w:rsid w:val="000F06D6"/>
    <w:rsid w:val="000F0793"/>
    <w:rsid w:val="000F0EB1"/>
    <w:rsid w:val="000F1106"/>
    <w:rsid w:val="000F3AA1"/>
    <w:rsid w:val="000F3BE9"/>
    <w:rsid w:val="000F3F6C"/>
    <w:rsid w:val="000F6DF3"/>
    <w:rsid w:val="000F74A6"/>
    <w:rsid w:val="000F7C80"/>
    <w:rsid w:val="001005FF"/>
    <w:rsid w:val="00100ED4"/>
    <w:rsid w:val="001062FB"/>
    <w:rsid w:val="001063E6"/>
    <w:rsid w:val="00106B7E"/>
    <w:rsid w:val="001122E8"/>
    <w:rsid w:val="00113CF4"/>
    <w:rsid w:val="001153EA"/>
    <w:rsid w:val="00115643"/>
    <w:rsid w:val="001157D5"/>
    <w:rsid w:val="001161FC"/>
    <w:rsid w:val="00116765"/>
    <w:rsid w:val="00121234"/>
    <w:rsid w:val="001219F5"/>
    <w:rsid w:val="00121A20"/>
    <w:rsid w:val="0012377F"/>
    <w:rsid w:val="00123E9F"/>
    <w:rsid w:val="00124314"/>
    <w:rsid w:val="00125B95"/>
    <w:rsid w:val="00126B4A"/>
    <w:rsid w:val="001306D3"/>
    <w:rsid w:val="00132FD0"/>
    <w:rsid w:val="00133472"/>
    <w:rsid w:val="00133F81"/>
    <w:rsid w:val="001341BB"/>
    <w:rsid w:val="001344C0"/>
    <w:rsid w:val="0013466F"/>
    <w:rsid w:val="001346FA"/>
    <w:rsid w:val="00135252"/>
    <w:rsid w:val="00135E53"/>
    <w:rsid w:val="00137AB5"/>
    <w:rsid w:val="00137F0B"/>
    <w:rsid w:val="0014409A"/>
    <w:rsid w:val="00144706"/>
    <w:rsid w:val="00150E90"/>
    <w:rsid w:val="00151E23"/>
    <w:rsid w:val="001526E0"/>
    <w:rsid w:val="001551B5"/>
    <w:rsid w:val="00156409"/>
    <w:rsid w:val="0016043D"/>
    <w:rsid w:val="00161756"/>
    <w:rsid w:val="001631D9"/>
    <w:rsid w:val="001656BA"/>
    <w:rsid w:val="001659C1"/>
    <w:rsid w:val="001669D4"/>
    <w:rsid w:val="00173A8E"/>
    <w:rsid w:val="0017502C"/>
    <w:rsid w:val="00175139"/>
    <w:rsid w:val="0018143F"/>
    <w:rsid w:val="001819D8"/>
    <w:rsid w:val="00181DC5"/>
    <w:rsid w:val="00181FF8"/>
    <w:rsid w:val="0018575F"/>
    <w:rsid w:val="001906AB"/>
    <w:rsid w:val="00190742"/>
    <w:rsid w:val="00190AC1"/>
    <w:rsid w:val="0019341A"/>
    <w:rsid w:val="0019562F"/>
    <w:rsid w:val="00197DF9"/>
    <w:rsid w:val="001A1987"/>
    <w:rsid w:val="001A2564"/>
    <w:rsid w:val="001A3237"/>
    <w:rsid w:val="001A5A94"/>
    <w:rsid w:val="001A6173"/>
    <w:rsid w:val="001A6CBA"/>
    <w:rsid w:val="001B0D97"/>
    <w:rsid w:val="001B3AAA"/>
    <w:rsid w:val="001B3D56"/>
    <w:rsid w:val="001B5A5D"/>
    <w:rsid w:val="001C1CE5"/>
    <w:rsid w:val="001C1EE1"/>
    <w:rsid w:val="001C2278"/>
    <w:rsid w:val="001C23E4"/>
    <w:rsid w:val="001C3D2A"/>
    <w:rsid w:val="001C6C12"/>
    <w:rsid w:val="001C7069"/>
    <w:rsid w:val="001D2BE1"/>
    <w:rsid w:val="001D44B6"/>
    <w:rsid w:val="001D51BA"/>
    <w:rsid w:val="001D53E7"/>
    <w:rsid w:val="001D6342"/>
    <w:rsid w:val="001D6D53"/>
    <w:rsid w:val="001E033A"/>
    <w:rsid w:val="001E58E2"/>
    <w:rsid w:val="001E7AED"/>
    <w:rsid w:val="001F0CEA"/>
    <w:rsid w:val="001F3916"/>
    <w:rsid w:val="001F54C5"/>
    <w:rsid w:val="001F5F30"/>
    <w:rsid w:val="001F662C"/>
    <w:rsid w:val="001F7074"/>
    <w:rsid w:val="00200490"/>
    <w:rsid w:val="00201126"/>
    <w:rsid w:val="0020154F"/>
    <w:rsid w:val="0020196B"/>
    <w:rsid w:val="00201F3A"/>
    <w:rsid w:val="00202079"/>
    <w:rsid w:val="002025ED"/>
    <w:rsid w:val="00202C2C"/>
    <w:rsid w:val="00203F96"/>
    <w:rsid w:val="002069B2"/>
    <w:rsid w:val="00207FA3"/>
    <w:rsid w:val="00214DA8"/>
    <w:rsid w:val="00215423"/>
    <w:rsid w:val="002158FA"/>
    <w:rsid w:val="00220600"/>
    <w:rsid w:val="002224DB"/>
    <w:rsid w:val="00222A77"/>
    <w:rsid w:val="00223FCB"/>
    <w:rsid w:val="0022438F"/>
    <w:rsid w:val="002252C3"/>
    <w:rsid w:val="00225C54"/>
    <w:rsid w:val="0022660D"/>
    <w:rsid w:val="002277E7"/>
    <w:rsid w:val="00230765"/>
    <w:rsid w:val="00230D18"/>
    <w:rsid w:val="002319BF"/>
    <w:rsid w:val="002319E4"/>
    <w:rsid w:val="00232237"/>
    <w:rsid w:val="002333D4"/>
    <w:rsid w:val="002334C4"/>
    <w:rsid w:val="00235632"/>
    <w:rsid w:val="00235872"/>
    <w:rsid w:val="00240F46"/>
    <w:rsid w:val="00241559"/>
    <w:rsid w:val="002435B3"/>
    <w:rsid w:val="00245015"/>
    <w:rsid w:val="002458EB"/>
    <w:rsid w:val="00247046"/>
    <w:rsid w:val="002470C9"/>
    <w:rsid w:val="002500C8"/>
    <w:rsid w:val="0025017D"/>
    <w:rsid w:val="00256740"/>
    <w:rsid w:val="00257543"/>
    <w:rsid w:val="002617E7"/>
    <w:rsid w:val="00264228"/>
    <w:rsid w:val="00264334"/>
    <w:rsid w:val="0026473E"/>
    <w:rsid w:val="00265181"/>
    <w:rsid w:val="00266214"/>
    <w:rsid w:val="00267202"/>
    <w:rsid w:val="00267C83"/>
    <w:rsid w:val="0027144F"/>
    <w:rsid w:val="0027160A"/>
    <w:rsid w:val="00271813"/>
    <w:rsid w:val="00271F3A"/>
    <w:rsid w:val="00273278"/>
    <w:rsid w:val="002737F4"/>
    <w:rsid w:val="002805F5"/>
    <w:rsid w:val="00280751"/>
    <w:rsid w:val="0028280A"/>
    <w:rsid w:val="002842CA"/>
    <w:rsid w:val="00286ACD"/>
    <w:rsid w:val="00287838"/>
    <w:rsid w:val="002907B5"/>
    <w:rsid w:val="002926A1"/>
    <w:rsid w:val="00292EB7"/>
    <w:rsid w:val="00295B5A"/>
    <w:rsid w:val="00296227"/>
    <w:rsid w:val="0029655F"/>
    <w:rsid w:val="00296F44"/>
    <w:rsid w:val="0029777D"/>
    <w:rsid w:val="002A055E"/>
    <w:rsid w:val="002A1D4E"/>
    <w:rsid w:val="002A2175"/>
    <w:rsid w:val="002A2869"/>
    <w:rsid w:val="002A33F8"/>
    <w:rsid w:val="002A3999"/>
    <w:rsid w:val="002A3D87"/>
    <w:rsid w:val="002B24A6"/>
    <w:rsid w:val="002B24D6"/>
    <w:rsid w:val="002C0724"/>
    <w:rsid w:val="002C0E84"/>
    <w:rsid w:val="002C1922"/>
    <w:rsid w:val="002C24F7"/>
    <w:rsid w:val="002C41E6"/>
    <w:rsid w:val="002C577C"/>
    <w:rsid w:val="002D071A"/>
    <w:rsid w:val="002D095F"/>
    <w:rsid w:val="002D1F15"/>
    <w:rsid w:val="002D34B2"/>
    <w:rsid w:val="002D48B0"/>
    <w:rsid w:val="002D5B37"/>
    <w:rsid w:val="002D7637"/>
    <w:rsid w:val="002E0B19"/>
    <w:rsid w:val="002E11FC"/>
    <w:rsid w:val="002E17F2"/>
    <w:rsid w:val="002E45A0"/>
    <w:rsid w:val="002E7CAE"/>
    <w:rsid w:val="002F13E4"/>
    <w:rsid w:val="002F2771"/>
    <w:rsid w:val="002F315D"/>
    <w:rsid w:val="002F37A9"/>
    <w:rsid w:val="002F469E"/>
    <w:rsid w:val="002F7205"/>
    <w:rsid w:val="002F789E"/>
    <w:rsid w:val="00301CE6"/>
    <w:rsid w:val="0030256B"/>
    <w:rsid w:val="00304C84"/>
    <w:rsid w:val="00304F8B"/>
    <w:rsid w:val="0030501F"/>
    <w:rsid w:val="00305048"/>
    <w:rsid w:val="003064D8"/>
    <w:rsid w:val="003069DA"/>
    <w:rsid w:val="00307411"/>
    <w:rsid w:val="00307BA1"/>
    <w:rsid w:val="00307C16"/>
    <w:rsid w:val="00310DCB"/>
    <w:rsid w:val="00311702"/>
    <w:rsid w:val="00311E82"/>
    <w:rsid w:val="00313FD6"/>
    <w:rsid w:val="003143BD"/>
    <w:rsid w:val="00315363"/>
    <w:rsid w:val="003167D9"/>
    <w:rsid w:val="003203ED"/>
    <w:rsid w:val="00321680"/>
    <w:rsid w:val="00322C9F"/>
    <w:rsid w:val="003235AB"/>
    <w:rsid w:val="00323BB4"/>
    <w:rsid w:val="00324D01"/>
    <w:rsid w:val="00324D23"/>
    <w:rsid w:val="0032631F"/>
    <w:rsid w:val="00326B03"/>
    <w:rsid w:val="0032771D"/>
    <w:rsid w:val="0033001C"/>
    <w:rsid w:val="00331751"/>
    <w:rsid w:val="00334579"/>
    <w:rsid w:val="00335858"/>
    <w:rsid w:val="0033625F"/>
    <w:rsid w:val="00336BDA"/>
    <w:rsid w:val="0034067F"/>
    <w:rsid w:val="00341D4A"/>
    <w:rsid w:val="00342AE3"/>
    <w:rsid w:val="00342BD7"/>
    <w:rsid w:val="00343546"/>
    <w:rsid w:val="0034407C"/>
    <w:rsid w:val="003458B4"/>
    <w:rsid w:val="00345EA9"/>
    <w:rsid w:val="00346DB5"/>
    <w:rsid w:val="003477B1"/>
    <w:rsid w:val="0035085B"/>
    <w:rsid w:val="00351957"/>
    <w:rsid w:val="00357380"/>
    <w:rsid w:val="00360180"/>
    <w:rsid w:val="003602D9"/>
    <w:rsid w:val="003604CE"/>
    <w:rsid w:val="00363581"/>
    <w:rsid w:val="00363D67"/>
    <w:rsid w:val="00370E47"/>
    <w:rsid w:val="0037317C"/>
    <w:rsid w:val="003742AC"/>
    <w:rsid w:val="00376A80"/>
    <w:rsid w:val="00376B61"/>
    <w:rsid w:val="00377CE1"/>
    <w:rsid w:val="0038428B"/>
    <w:rsid w:val="003842F6"/>
    <w:rsid w:val="00384790"/>
    <w:rsid w:val="00385BF0"/>
    <w:rsid w:val="00386C14"/>
    <w:rsid w:val="00387EE7"/>
    <w:rsid w:val="00391044"/>
    <w:rsid w:val="00392A35"/>
    <w:rsid w:val="003939FF"/>
    <w:rsid w:val="003A0FE1"/>
    <w:rsid w:val="003A2223"/>
    <w:rsid w:val="003A2347"/>
    <w:rsid w:val="003A2A0F"/>
    <w:rsid w:val="003A45A1"/>
    <w:rsid w:val="003A5B0A"/>
    <w:rsid w:val="003A6BAC"/>
    <w:rsid w:val="003A70A4"/>
    <w:rsid w:val="003A732C"/>
    <w:rsid w:val="003A7EF3"/>
    <w:rsid w:val="003B033B"/>
    <w:rsid w:val="003B132D"/>
    <w:rsid w:val="003B159C"/>
    <w:rsid w:val="003B369F"/>
    <w:rsid w:val="003B36A3"/>
    <w:rsid w:val="003B64BB"/>
    <w:rsid w:val="003B7FE5"/>
    <w:rsid w:val="003C11C8"/>
    <w:rsid w:val="003C26DB"/>
    <w:rsid w:val="003C2702"/>
    <w:rsid w:val="003C3004"/>
    <w:rsid w:val="003C47D2"/>
    <w:rsid w:val="003C4E4B"/>
    <w:rsid w:val="003C5373"/>
    <w:rsid w:val="003C54DD"/>
    <w:rsid w:val="003C7806"/>
    <w:rsid w:val="003D051F"/>
    <w:rsid w:val="003D109F"/>
    <w:rsid w:val="003D1117"/>
    <w:rsid w:val="003D1184"/>
    <w:rsid w:val="003D12C0"/>
    <w:rsid w:val="003D2202"/>
    <w:rsid w:val="003D2478"/>
    <w:rsid w:val="003D308A"/>
    <w:rsid w:val="003D3974"/>
    <w:rsid w:val="003D3C45"/>
    <w:rsid w:val="003D5B1F"/>
    <w:rsid w:val="003E15FA"/>
    <w:rsid w:val="003E454C"/>
    <w:rsid w:val="003E55E4"/>
    <w:rsid w:val="003E69B3"/>
    <w:rsid w:val="003E729B"/>
    <w:rsid w:val="003E74E3"/>
    <w:rsid w:val="003F041F"/>
    <w:rsid w:val="003F05C7"/>
    <w:rsid w:val="003F2CD4"/>
    <w:rsid w:val="003F4006"/>
    <w:rsid w:val="003F58C0"/>
    <w:rsid w:val="003F6BBE"/>
    <w:rsid w:val="004000E8"/>
    <w:rsid w:val="00402E2B"/>
    <w:rsid w:val="0040512B"/>
    <w:rsid w:val="00405174"/>
    <w:rsid w:val="004056FA"/>
    <w:rsid w:val="00405CA5"/>
    <w:rsid w:val="00406CB7"/>
    <w:rsid w:val="00407CD3"/>
    <w:rsid w:val="00410134"/>
    <w:rsid w:val="00410B72"/>
    <w:rsid w:val="00410F18"/>
    <w:rsid w:val="00411AA8"/>
    <w:rsid w:val="0041263E"/>
    <w:rsid w:val="00412908"/>
    <w:rsid w:val="004130C0"/>
    <w:rsid w:val="00413AAC"/>
    <w:rsid w:val="00413E92"/>
    <w:rsid w:val="00414428"/>
    <w:rsid w:val="00414D14"/>
    <w:rsid w:val="00417656"/>
    <w:rsid w:val="00421105"/>
    <w:rsid w:val="00422AA4"/>
    <w:rsid w:val="00422E3D"/>
    <w:rsid w:val="004242F4"/>
    <w:rsid w:val="0042572A"/>
    <w:rsid w:val="00427248"/>
    <w:rsid w:val="00431CAC"/>
    <w:rsid w:val="00434A44"/>
    <w:rsid w:val="004369ED"/>
    <w:rsid w:val="00437447"/>
    <w:rsid w:val="00440DDA"/>
    <w:rsid w:val="00441A92"/>
    <w:rsid w:val="004431DC"/>
    <w:rsid w:val="00444F56"/>
    <w:rsid w:val="0044618D"/>
    <w:rsid w:val="00446426"/>
    <w:rsid w:val="00446488"/>
    <w:rsid w:val="00446AF8"/>
    <w:rsid w:val="00450BC8"/>
    <w:rsid w:val="004517AA"/>
    <w:rsid w:val="00451B3E"/>
    <w:rsid w:val="00451F5C"/>
    <w:rsid w:val="00452CAC"/>
    <w:rsid w:val="00452FD3"/>
    <w:rsid w:val="00453A2F"/>
    <w:rsid w:val="004546A9"/>
    <w:rsid w:val="00457565"/>
    <w:rsid w:val="00457B71"/>
    <w:rsid w:val="00460049"/>
    <w:rsid w:val="0046059B"/>
    <w:rsid w:val="004632FA"/>
    <w:rsid w:val="00464340"/>
    <w:rsid w:val="00464689"/>
    <w:rsid w:val="004669E2"/>
    <w:rsid w:val="00467BEF"/>
    <w:rsid w:val="00470C31"/>
    <w:rsid w:val="00471DE0"/>
    <w:rsid w:val="004734D0"/>
    <w:rsid w:val="0047556B"/>
    <w:rsid w:val="004763D4"/>
    <w:rsid w:val="00477768"/>
    <w:rsid w:val="00480687"/>
    <w:rsid w:val="004809DB"/>
    <w:rsid w:val="00480C7D"/>
    <w:rsid w:val="00486849"/>
    <w:rsid w:val="004905AD"/>
    <w:rsid w:val="004919BB"/>
    <w:rsid w:val="00492BC5"/>
    <w:rsid w:val="00495737"/>
    <w:rsid w:val="004964F1"/>
    <w:rsid w:val="00496D0D"/>
    <w:rsid w:val="004A16BC"/>
    <w:rsid w:val="004A2B94"/>
    <w:rsid w:val="004A5CD9"/>
    <w:rsid w:val="004A742D"/>
    <w:rsid w:val="004B116F"/>
    <w:rsid w:val="004B2BF0"/>
    <w:rsid w:val="004B581D"/>
    <w:rsid w:val="004B6545"/>
    <w:rsid w:val="004B6F6A"/>
    <w:rsid w:val="004B704E"/>
    <w:rsid w:val="004B7C0C"/>
    <w:rsid w:val="004C096F"/>
    <w:rsid w:val="004C3898"/>
    <w:rsid w:val="004C4BB3"/>
    <w:rsid w:val="004C4D59"/>
    <w:rsid w:val="004C62C3"/>
    <w:rsid w:val="004C65D2"/>
    <w:rsid w:val="004C77AA"/>
    <w:rsid w:val="004D33B3"/>
    <w:rsid w:val="004D36B1"/>
    <w:rsid w:val="004D4D22"/>
    <w:rsid w:val="004D7EBD"/>
    <w:rsid w:val="004E109D"/>
    <w:rsid w:val="004E2341"/>
    <w:rsid w:val="004E2680"/>
    <w:rsid w:val="004E28F9"/>
    <w:rsid w:val="004E2915"/>
    <w:rsid w:val="004E4405"/>
    <w:rsid w:val="004E462E"/>
    <w:rsid w:val="004E4DD1"/>
    <w:rsid w:val="004E56DC"/>
    <w:rsid w:val="004E76F4"/>
    <w:rsid w:val="004F0B4E"/>
    <w:rsid w:val="004F0B6C"/>
    <w:rsid w:val="004F1405"/>
    <w:rsid w:val="004F2078"/>
    <w:rsid w:val="004F4DA3"/>
    <w:rsid w:val="004F76F1"/>
    <w:rsid w:val="00504FDC"/>
    <w:rsid w:val="00505082"/>
    <w:rsid w:val="005061FC"/>
    <w:rsid w:val="00506557"/>
    <w:rsid w:val="0050677A"/>
    <w:rsid w:val="005108D8"/>
    <w:rsid w:val="005116F9"/>
    <w:rsid w:val="00512993"/>
    <w:rsid w:val="00512A04"/>
    <w:rsid w:val="00512D19"/>
    <w:rsid w:val="00515025"/>
    <w:rsid w:val="005153A7"/>
    <w:rsid w:val="0052033C"/>
    <w:rsid w:val="005219CF"/>
    <w:rsid w:val="00522566"/>
    <w:rsid w:val="00522644"/>
    <w:rsid w:val="00522B60"/>
    <w:rsid w:val="00522BF6"/>
    <w:rsid w:val="00523A50"/>
    <w:rsid w:val="00534B59"/>
    <w:rsid w:val="00536759"/>
    <w:rsid w:val="00537939"/>
    <w:rsid w:val="00537C62"/>
    <w:rsid w:val="005403EE"/>
    <w:rsid w:val="00542F72"/>
    <w:rsid w:val="0054632C"/>
    <w:rsid w:val="00546970"/>
    <w:rsid w:val="00550672"/>
    <w:rsid w:val="00553978"/>
    <w:rsid w:val="00553FE2"/>
    <w:rsid w:val="00554E19"/>
    <w:rsid w:val="0055533F"/>
    <w:rsid w:val="00555D45"/>
    <w:rsid w:val="00556126"/>
    <w:rsid w:val="00557D99"/>
    <w:rsid w:val="00560A48"/>
    <w:rsid w:val="0056121F"/>
    <w:rsid w:val="00567E2C"/>
    <w:rsid w:val="00571D81"/>
    <w:rsid w:val="00572505"/>
    <w:rsid w:val="00575BE9"/>
    <w:rsid w:val="00575EB4"/>
    <w:rsid w:val="005813FD"/>
    <w:rsid w:val="00581BC6"/>
    <w:rsid w:val="00582809"/>
    <w:rsid w:val="00583DC1"/>
    <w:rsid w:val="00585218"/>
    <w:rsid w:val="0058530E"/>
    <w:rsid w:val="005863B6"/>
    <w:rsid w:val="0058798C"/>
    <w:rsid w:val="00587BA3"/>
    <w:rsid w:val="005900FA"/>
    <w:rsid w:val="00593505"/>
    <w:rsid w:val="005935A4"/>
    <w:rsid w:val="005948C2"/>
    <w:rsid w:val="00595DCA"/>
    <w:rsid w:val="0059634D"/>
    <w:rsid w:val="0059779B"/>
    <w:rsid w:val="005A1AA8"/>
    <w:rsid w:val="005A209A"/>
    <w:rsid w:val="005A662D"/>
    <w:rsid w:val="005A68AE"/>
    <w:rsid w:val="005B121B"/>
    <w:rsid w:val="005B1409"/>
    <w:rsid w:val="005B2E95"/>
    <w:rsid w:val="005B35D7"/>
    <w:rsid w:val="005B3900"/>
    <w:rsid w:val="005B392A"/>
    <w:rsid w:val="005B3AA3"/>
    <w:rsid w:val="005B5AAD"/>
    <w:rsid w:val="005B6F83"/>
    <w:rsid w:val="005C40FB"/>
    <w:rsid w:val="005C5033"/>
    <w:rsid w:val="005C74FB"/>
    <w:rsid w:val="005D00FD"/>
    <w:rsid w:val="005D0B4B"/>
    <w:rsid w:val="005D1602"/>
    <w:rsid w:val="005D2206"/>
    <w:rsid w:val="005D6666"/>
    <w:rsid w:val="005D6B03"/>
    <w:rsid w:val="005D7039"/>
    <w:rsid w:val="005D72B9"/>
    <w:rsid w:val="005D79EC"/>
    <w:rsid w:val="005E0299"/>
    <w:rsid w:val="005E2ED0"/>
    <w:rsid w:val="005E385F"/>
    <w:rsid w:val="005E44F4"/>
    <w:rsid w:val="005E50A0"/>
    <w:rsid w:val="005E5B81"/>
    <w:rsid w:val="005E62E4"/>
    <w:rsid w:val="005E65D2"/>
    <w:rsid w:val="005E6B64"/>
    <w:rsid w:val="005E781D"/>
    <w:rsid w:val="005F109E"/>
    <w:rsid w:val="005F2C5D"/>
    <w:rsid w:val="005F2CB1"/>
    <w:rsid w:val="005F3025"/>
    <w:rsid w:val="005F3606"/>
    <w:rsid w:val="005F3E50"/>
    <w:rsid w:val="005F618C"/>
    <w:rsid w:val="005F70BD"/>
    <w:rsid w:val="006022CE"/>
    <w:rsid w:val="0060283C"/>
    <w:rsid w:val="006039E1"/>
    <w:rsid w:val="00604F14"/>
    <w:rsid w:val="00605CB2"/>
    <w:rsid w:val="00607766"/>
    <w:rsid w:val="00611B83"/>
    <w:rsid w:val="006121A6"/>
    <w:rsid w:val="0061226F"/>
    <w:rsid w:val="00613257"/>
    <w:rsid w:val="006132B2"/>
    <w:rsid w:val="0061451B"/>
    <w:rsid w:val="00615151"/>
    <w:rsid w:val="00617E7D"/>
    <w:rsid w:val="00620A71"/>
    <w:rsid w:val="00620D80"/>
    <w:rsid w:val="00622FF8"/>
    <w:rsid w:val="006234A6"/>
    <w:rsid w:val="0062389D"/>
    <w:rsid w:val="00626338"/>
    <w:rsid w:val="00626CE5"/>
    <w:rsid w:val="00627EF7"/>
    <w:rsid w:val="00630001"/>
    <w:rsid w:val="006311B3"/>
    <w:rsid w:val="0063142C"/>
    <w:rsid w:val="006322FD"/>
    <w:rsid w:val="0063284C"/>
    <w:rsid w:val="00636398"/>
    <w:rsid w:val="006367E1"/>
    <w:rsid w:val="006368D3"/>
    <w:rsid w:val="006377EC"/>
    <w:rsid w:val="0064151F"/>
    <w:rsid w:val="00641533"/>
    <w:rsid w:val="0064208D"/>
    <w:rsid w:val="0064209A"/>
    <w:rsid w:val="00643475"/>
    <w:rsid w:val="00643526"/>
    <w:rsid w:val="0064396A"/>
    <w:rsid w:val="00645C26"/>
    <w:rsid w:val="0064624E"/>
    <w:rsid w:val="006463A4"/>
    <w:rsid w:val="006501C1"/>
    <w:rsid w:val="00650AB9"/>
    <w:rsid w:val="0065222B"/>
    <w:rsid w:val="00655034"/>
    <w:rsid w:val="00655200"/>
    <w:rsid w:val="00655733"/>
    <w:rsid w:val="00655ACD"/>
    <w:rsid w:val="00656A92"/>
    <w:rsid w:val="00656DDE"/>
    <w:rsid w:val="0066011D"/>
    <w:rsid w:val="006607C0"/>
    <w:rsid w:val="00660C07"/>
    <w:rsid w:val="006613A6"/>
    <w:rsid w:val="006627A2"/>
    <w:rsid w:val="00662886"/>
    <w:rsid w:val="006634E6"/>
    <w:rsid w:val="006655EE"/>
    <w:rsid w:val="00667EE7"/>
    <w:rsid w:val="00670523"/>
    <w:rsid w:val="00670922"/>
    <w:rsid w:val="00670BE1"/>
    <w:rsid w:val="0067218F"/>
    <w:rsid w:val="00673BEA"/>
    <w:rsid w:val="006741F2"/>
    <w:rsid w:val="00674CC3"/>
    <w:rsid w:val="00675C72"/>
    <w:rsid w:val="006771F9"/>
    <w:rsid w:val="006776D7"/>
    <w:rsid w:val="00681003"/>
    <w:rsid w:val="006817C9"/>
    <w:rsid w:val="006835E2"/>
    <w:rsid w:val="00683ECE"/>
    <w:rsid w:val="00686917"/>
    <w:rsid w:val="00691A8D"/>
    <w:rsid w:val="00691AD2"/>
    <w:rsid w:val="006929A4"/>
    <w:rsid w:val="00695FC2"/>
    <w:rsid w:val="00696949"/>
    <w:rsid w:val="00696E26"/>
    <w:rsid w:val="00697052"/>
    <w:rsid w:val="006A02CD"/>
    <w:rsid w:val="006A131C"/>
    <w:rsid w:val="006A1A3A"/>
    <w:rsid w:val="006A38DC"/>
    <w:rsid w:val="006A46FB"/>
    <w:rsid w:val="006A5E28"/>
    <w:rsid w:val="006A697B"/>
    <w:rsid w:val="006A7200"/>
    <w:rsid w:val="006A7AFF"/>
    <w:rsid w:val="006B0453"/>
    <w:rsid w:val="006B1816"/>
    <w:rsid w:val="006B2099"/>
    <w:rsid w:val="006B3405"/>
    <w:rsid w:val="006B3E56"/>
    <w:rsid w:val="006B50CF"/>
    <w:rsid w:val="006C03B8"/>
    <w:rsid w:val="006C1F99"/>
    <w:rsid w:val="006C5919"/>
    <w:rsid w:val="006C5EC9"/>
    <w:rsid w:val="006C6059"/>
    <w:rsid w:val="006C7075"/>
    <w:rsid w:val="006C7522"/>
    <w:rsid w:val="006C79B4"/>
    <w:rsid w:val="006D1E18"/>
    <w:rsid w:val="006D342D"/>
    <w:rsid w:val="006D672E"/>
    <w:rsid w:val="006D6F08"/>
    <w:rsid w:val="006D78C4"/>
    <w:rsid w:val="006E062C"/>
    <w:rsid w:val="006E1C82"/>
    <w:rsid w:val="006E28B7"/>
    <w:rsid w:val="006E2A9B"/>
    <w:rsid w:val="006E3310"/>
    <w:rsid w:val="006E4E39"/>
    <w:rsid w:val="006E565E"/>
    <w:rsid w:val="006E673D"/>
    <w:rsid w:val="006E7D3B"/>
    <w:rsid w:val="006F1B70"/>
    <w:rsid w:val="006F2A84"/>
    <w:rsid w:val="006F341D"/>
    <w:rsid w:val="006F3CDE"/>
    <w:rsid w:val="006F467C"/>
    <w:rsid w:val="006F49D8"/>
    <w:rsid w:val="006F4FB1"/>
    <w:rsid w:val="006F58D4"/>
    <w:rsid w:val="006F5968"/>
    <w:rsid w:val="006F6582"/>
    <w:rsid w:val="00700464"/>
    <w:rsid w:val="0070346E"/>
    <w:rsid w:val="00704EDB"/>
    <w:rsid w:val="007053F3"/>
    <w:rsid w:val="00706101"/>
    <w:rsid w:val="0070655C"/>
    <w:rsid w:val="00707072"/>
    <w:rsid w:val="00707083"/>
    <w:rsid w:val="00707A2F"/>
    <w:rsid w:val="00707D61"/>
    <w:rsid w:val="00710C4F"/>
    <w:rsid w:val="00712287"/>
    <w:rsid w:val="00712772"/>
    <w:rsid w:val="00713630"/>
    <w:rsid w:val="00713C4C"/>
    <w:rsid w:val="007148D3"/>
    <w:rsid w:val="00714E8E"/>
    <w:rsid w:val="00715B9A"/>
    <w:rsid w:val="00721877"/>
    <w:rsid w:val="00721B32"/>
    <w:rsid w:val="00721CA6"/>
    <w:rsid w:val="00721DC3"/>
    <w:rsid w:val="00724FC6"/>
    <w:rsid w:val="007257D0"/>
    <w:rsid w:val="00725BB7"/>
    <w:rsid w:val="0072642B"/>
    <w:rsid w:val="00726EA6"/>
    <w:rsid w:val="00727208"/>
    <w:rsid w:val="00727680"/>
    <w:rsid w:val="007310E7"/>
    <w:rsid w:val="007319F0"/>
    <w:rsid w:val="00732C4F"/>
    <w:rsid w:val="007340CA"/>
    <w:rsid w:val="007348B1"/>
    <w:rsid w:val="00735C41"/>
    <w:rsid w:val="00735DC8"/>
    <w:rsid w:val="007362A6"/>
    <w:rsid w:val="00736D7D"/>
    <w:rsid w:val="00737888"/>
    <w:rsid w:val="007400BA"/>
    <w:rsid w:val="00740114"/>
    <w:rsid w:val="00740E58"/>
    <w:rsid w:val="00740EBF"/>
    <w:rsid w:val="00741EBB"/>
    <w:rsid w:val="007445A0"/>
    <w:rsid w:val="00744AAD"/>
    <w:rsid w:val="0074524B"/>
    <w:rsid w:val="0074566A"/>
    <w:rsid w:val="00745C6F"/>
    <w:rsid w:val="00747D8B"/>
    <w:rsid w:val="00750160"/>
    <w:rsid w:val="00750A6A"/>
    <w:rsid w:val="00751228"/>
    <w:rsid w:val="0075615C"/>
    <w:rsid w:val="007571E1"/>
    <w:rsid w:val="007604B2"/>
    <w:rsid w:val="007617C3"/>
    <w:rsid w:val="00765281"/>
    <w:rsid w:val="00766BAD"/>
    <w:rsid w:val="007729A2"/>
    <w:rsid w:val="007739A6"/>
    <w:rsid w:val="00773BFF"/>
    <w:rsid w:val="007755CB"/>
    <w:rsid w:val="007755F2"/>
    <w:rsid w:val="00776971"/>
    <w:rsid w:val="00780A80"/>
    <w:rsid w:val="0078177E"/>
    <w:rsid w:val="00781A50"/>
    <w:rsid w:val="00782A97"/>
    <w:rsid w:val="0078304C"/>
    <w:rsid w:val="00783673"/>
    <w:rsid w:val="00785490"/>
    <w:rsid w:val="007875BC"/>
    <w:rsid w:val="007925EA"/>
    <w:rsid w:val="00793CD8"/>
    <w:rsid w:val="00795C92"/>
    <w:rsid w:val="00796231"/>
    <w:rsid w:val="00796681"/>
    <w:rsid w:val="00796895"/>
    <w:rsid w:val="00796E03"/>
    <w:rsid w:val="007A1CB3"/>
    <w:rsid w:val="007A282E"/>
    <w:rsid w:val="007A306F"/>
    <w:rsid w:val="007A3B89"/>
    <w:rsid w:val="007A43A6"/>
    <w:rsid w:val="007A44B6"/>
    <w:rsid w:val="007A58A6"/>
    <w:rsid w:val="007A5CC6"/>
    <w:rsid w:val="007B1784"/>
    <w:rsid w:val="007B3D2D"/>
    <w:rsid w:val="007B50AE"/>
    <w:rsid w:val="007B51DF"/>
    <w:rsid w:val="007B53EC"/>
    <w:rsid w:val="007B78EE"/>
    <w:rsid w:val="007C05DD"/>
    <w:rsid w:val="007C06B7"/>
    <w:rsid w:val="007C1321"/>
    <w:rsid w:val="007C37D2"/>
    <w:rsid w:val="007C3D18"/>
    <w:rsid w:val="007C5D13"/>
    <w:rsid w:val="007C60BF"/>
    <w:rsid w:val="007C6A07"/>
    <w:rsid w:val="007C75A1"/>
    <w:rsid w:val="007C77A5"/>
    <w:rsid w:val="007D04E5"/>
    <w:rsid w:val="007D5901"/>
    <w:rsid w:val="007D5DBC"/>
    <w:rsid w:val="007D7526"/>
    <w:rsid w:val="007E11AB"/>
    <w:rsid w:val="007E4610"/>
    <w:rsid w:val="007E4715"/>
    <w:rsid w:val="007E505B"/>
    <w:rsid w:val="007E66C1"/>
    <w:rsid w:val="007E66D5"/>
    <w:rsid w:val="007E7091"/>
    <w:rsid w:val="007F2178"/>
    <w:rsid w:val="007F44F8"/>
    <w:rsid w:val="007F7DDB"/>
    <w:rsid w:val="0080080A"/>
    <w:rsid w:val="00801588"/>
    <w:rsid w:val="008015B5"/>
    <w:rsid w:val="00803E72"/>
    <w:rsid w:val="00803FAE"/>
    <w:rsid w:val="0080430B"/>
    <w:rsid w:val="00804643"/>
    <w:rsid w:val="00805690"/>
    <w:rsid w:val="00805702"/>
    <w:rsid w:val="0080605F"/>
    <w:rsid w:val="00807786"/>
    <w:rsid w:val="00810876"/>
    <w:rsid w:val="00811FCB"/>
    <w:rsid w:val="00813CA8"/>
    <w:rsid w:val="008158D6"/>
    <w:rsid w:val="00817196"/>
    <w:rsid w:val="00823116"/>
    <w:rsid w:val="008235DB"/>
    <w:rsid w:val="0082421A"/>
    <w:rsid w:val="00824AB4"/>
    <w:rsid w:val="00825A75"/>
    <w:rsid w:val="00825C42"/>
    <w:rsid w:val="00825D25"/>
    <w:rsid w:val="00827905"/>
    <w:rsid w:val="00827D6F"/>
    <w:rsid w:val="00831207"/>
    <w:rsid w:val="00831409"/>
    <w:rsid w:val="00831494"/>
    <w:rsid w:val="00833B7A"/>
    <w:rsid w:val="00833C62"/>
    <w:rsid w:val="00835047"/>
    <w:rsid w:val="0083546B"/>
    <w:rsid w:val="00835899"/>
    <w:rsid w:val="008376AC"/>
    <w:rsid w:val="00837F48"/>
    <w:rsid w:val="00840578"/>
    <w:rsid w:val="0084206F"/>
    <w:rsid w:val="0084318F"/>
    <w:rsid w:val="008444E8"/>
    <w:rsid w:val="00844E80"/>
    <w:rsid w:val="00846FE7"/>
    <w:rsid w:val="00847D9B"/>
    <w:rsid w:val="008517A7"/>
    <w:rsid w:val="00853D18"/>
    <w:rsid w:val="00856911"/>
    <w:rsid w:val="0085756D"/>
    <w:rsid w:val="0086244C"/>
    <w:rsid w:val="00863555"/>
    <w:rsid w:val="00864895"/>
    <w:rsid w:val="008655CF"/>
    <w:rsid w:val="0086568B"/>
    <w:rsid w:val="0086687B"/>
    <w:rsid w:val="00866E25"/>
    <w:rsid w:val="008677FD"/>
    <w:rsid w:val="008706D4"/>
    <w:rsid w:val="00870F8A"/>
    <w:rsid w:val="00871013"/>
    <w:rsid w:val="008719A4"/>
    <w:rsid w:val="00871D23"/>
    <w:rsid w:val="008722B3"/>
    <w:rsid w:val="00872481"/>
    <w:rsid w:val="00874312"/>
    <w:rsid w:val="0087437C"/>
    <w:rsid w:val="00875CD7"/>
    <w:rsid w:val="008766C5"/>
    <w:rsid w:val="00876B4D"/>
    <w:rsid w:val="00877F18"/>
    <w:rsid w:val="00881CEA"/>
    <w:rsid w:val="00881D84"/>
    <w:rsid w:val="00885A95"/>
    <w:rsid w:val="00891E0C"/>
    <w:rsid w:val="00893C4A"/>
    <w:rsid w:val="008941E3"/>
    <w:rsid w:val="00894A88"/>
    <w:rsid w:val="00895386"/>
    <w:rsid w:val="00896483"/>
    <w:rsid w:val="008A21FF"/>
    <w:rsid w:val="008A2A8F"/>
    <w:rsid w:val="008A2CE2"/>
    <w:rsid w:val="008A30AC"/>
    <w:rsid w:val="008A44B8"/>
    <w:rsid w:val="008A51A8"/>
    <w:rsid w:val="008A54C7"/>
    <w:rsid w:val="008A580C"/>
    <w:rsid w:val="008A72F3"/>
    <w:rsid w:val="008A77D8"/>
    <w:rsid w:val="008B0483"/>
    <w:rsid w:val="008B120C"/>
    <w:rsid w:val="008B2AD4"/>
    <w:rsid w:val="008B486B"/>
    <w:rsid w:val="008B51A0"/>
    <w:rsid w:val="008B592A"/>
    <w:rsid w:val="008B66B3"/>
    <w:rsid w:val="008B7B5C"/>
    <w:rsid w:val="008C0C99"/>
    <w:rsid w:val="008C2017"/>
    <w:rsid w:val="008C4958"/>
    <w:rsid w:val="008C4BAA"/>
    <w:rsid w:val="008C6AE8"/>
    <w:rsid w:val="008C6C38"/>
    <w:rsid w:val="008C7573"/>
    <w:rsid w:val="008C7845"/>
    <w:rsid w:val="008D00A5"/>
    <w:rsid w:val="008D21D1"/>
    <w:rsid w:val="008D34F1"/>
    <w:rsid w:val="008D39D8"/>
    <w:rsid w:val="008D6D1A"/>
    <w:rsid w:val="008E065E"/>
    <w:rsid w:val="008E0927"/>
    <w:rsid w:val="008E1650"/>
    <w:rsid w:val="008E1909"/>
    <w:rsid w:val="008E21AF"/>
    <w:rsid w:val="008E3B7C"/>
    <w:rsid w:val="008E3C17"/>
    <w:rsid w:val="008E5DD3"/>
    <w:rsid w:val="008E64FE"/>
    <w:rsid w:val="008E6747"/>
    <w:rsid w:val="008E6E7F"/>
    <w:rsid w:val="008E7547"/>
    <w:rsid w:val="008F1C4E"/>
    <w:rsid w:val="008F1EAB"/>
    <w:rsid w:val="008F25B6"/>
    <w:rsid w:val="008F33DC"/>
    <w:rsid w:val="008F4595"/>
    <w:rsid w:val="008F477F"/>
    <w:rsid w:val="00901B51"/>
    <w:rsid w:val="00902350"/>
    <w:rsid w:val="0090336B"/>
    <w:rsid w:val="009033A2"/>
    <w:rsid w:val="009053AA"/>
    <w:rsid w:val="00906939"/>
    <w:rsid w:val="00910B7D"/>
    <w:rsid w:val="009111B6"/>
    <w:rsid w:val="00911DFB"/>
    <w:rsid w:val="00912931"/>
    <w:rsid w:val="00912A4E"/>
    <w:rsid w:val="00913547"/>
    <w:rsid w:val="009139D9"/>
    <w:rsid w:val="00914AD8"/>
    <w:rsid w:val="00916079"/>
    <w:rsid w:val="00917CE9"/>
    <w:rsid w:val="0092014E"/>
    <w:rsid w:val="0092075B"/>
    <w:rsid w:val="00920B50"/>
    <w:rsid w:val="00920BF2"/>
    <w:rsid w:val="00922010"/>
    <w:rsid w:val="00925A40"/>
    <w:rsid w:val="00925EFE"/>
    <w:rsid w:val="0093071A"/>
    <w:rsid w:val="00931BD9"/>
    <w:rsid w:val="009326CE"/>
    <w:rsid w:val="00932F06"/>
    <w:rsid w:val="00935245"/>
    <w:rsid w:val="009359EE"/>
    <w:rsid w:val="009368F3"/>
    <w:rsid w:val="00936FC0"/>
    <w:rsid w:val="009405B9"/>
    <w:rsid w:val="00941636"/>
    <w:rsid w:val="00943742"/>
    <w:rsid w:val="00945387"/>
    <w:rsid w:val="00945C05"/>
    <w:rsid w:val="00946945"/>
    <w:rsid w:val="00947713"/>
    <w:rsid w:val="00950286"/>
    <w:rsid w:val="00950ABA"/>
    <w:rsid w:val="00950DE7"/>
    <w:rsid w:val="00951E58"/>
    <w:rsid w:val="009529E6"/>
    <w:rsid w:val="00953920"/>
    <w:rsid w:val="00953D47"/>
    <w:rsid w:val="009547DA"/>
    <w:rsid w:val="00955356"/>
    <w:rsid w:val="00955E47"/>
    <w:rsid w:val="0095681E"/>
    <w:rsid w:val="009572D4"/>
    <w:rsid w:val="00957A2B"/>
    <w:rsid w:val="00961921"/>
    <w:rsid w:val="00961BB5"/>
    <w:rsid w:val="0096252F"/>
    <w:rsid w:val="009629B8"/>
    <w:rsid w:val="00962D9B"/>
    <w:rsid w:val="0096430A"/>
    <w:rsid w:val="0096494C"/>
    <w:rsid w:val="0096554B"/>
    <w:rsid w:val="0096584A"/>
    <w:rsid w:val="009705E4"/>
    <w:rsid w:val="00971F08"/>
    <w:rsid w:val="0097603D"/>
    <w:rsid w:val="00976949"/>
    <w:rsid w:val="00976F7A"/>
    <w:rsid w:val="00976FA9"/>
    <w:rsid w:val="00977A48"/>
    <w:rsid w:val="00980477"/>
    <w:rsid w:val="009812FA"/>
    <w:rsid w:val="00981984"/>
    <w:rsid w:val="00981FD4"/>
    <w:rsid w:val="00983772"/>
    <w:rsid w:val="00984317"/>
    <w:rsid w:val="00984F92"/>
    <w:rsid w:val="00985253"/>
    <w:rsid w:val="009853B3"/>
    <w:rsid w:val="00986845"/>
    <w:rsid w:val="00990630"/>
    <w:rsid w:val="009910CA"/>
    <w:rsid w:val="00991761"/>
    <w:rsid w:val="00992946"/>
    <w:rsid w:val="00994DCA"/>
    <w:rsid w:val="009960EC"/>
    <w:rsid w:val="00996275"/>
    <w:rsid w:val="009970DD"/>
    <w:rsid w:val="009A0FBA"/>
    <w:rsid w:val="009A1601"/>
    <w:rsid w:val="009A1D6E"/>
    <w:rsid w:val="009A3BB6"/>
    <w:rsid w:val="009A462D"/>
    <w:rsid w:val="009A5CBA"/>
    <w:rsid w:val="009A7AA4"/>
    <w:rsid w:val="009B0BDD"/>
    <w:rsid w:val="009B1F30"/>
    <w:rsid w:val="009B26EF"/>
    <w:rsid w:val="009B3AC2"/>
    <w:rsid w:val="009B4DF4"/>
    <w:rsid w:val="009B564E"/>
    <w:rsid w:val="009B6D9A"/>
    <w:rsid w:val="009B7E87"/>
    <w:rsid w:val="009C0169"/>
    <w:rsid w:val="009C403E"/>
    <w:rsid w:val="009C6853"/>
    <w:rsid w:val="009D2848"/>
    <w:rsid w:val="009D4FF0"/>
    <w:rsid w:val="009D6983"/>
    <w:rsid w:val="009D703C"/>
    <w:rsid w:val="009D7156"/>
    <w:rsid w:val="009D718F"/>
    <w:rsid w:val="009E068F"/>
    <w:rsid w:val="009E140D"/>
    <w:rsid w:val="009E14E0"/>
    <w:rsid w:val="009E19B5"/>
    <w:rsid w:val="009E2111"/>
    <w:rsid w:val="009E35DB"/>
    <w:rsid w:val="009E47A3"/>
    <w:rsid w:val="009E5AAC"/>
    <w:rsid w:val="009F08F3"/>
    <w:rsid w:val="009F2147"/>
    <w:rsid w:val="009F344F"/>
    <w:rsid w:val="009F4F4A"/>
    <w:rsid w:val="009F6E43"/>
    <w:rsid w:val="00A00442"/>
    <w:rsid w:val="00A0200E"/>
    <w:rsid w:val="00A031D8"/>
    <w:rsid w:val="00A031E1"/>
    <w:rsid w:val="00A048A8"/>
    <w:rsid w:val="00A04F49"/>
    <w:rsid w:val="00A13E54"/>
    <w:rsid w:val="00A14622"/>
    <w:rsid w:val="00A165D9"/>
    <w:rsid w:val="00A17C49"/>
    <w:rsid w:val="00A17F63"/>
    <w:rsid w:val="00A20B66"/>
    <w:rsid w:val="00A20CD1"/>
    <w:rsid w:val="00A2193B"/>
    <w:rsid w:val="00A21ED5"/>
    <w:rsid w:val="00A222ED"/>
    <w:rsid w:val="00A2351A"/>
    <w:rsid w:val="00A24322"/>
    <w:rsid w:val="00A264A9"/>
    <w:rsid w:val="00A265E1"/>
    <w:rsid w:val="00A26DCF"/>
    <w:rsid w:val="00A27785"/>
    <w:rsid w:val="00A30187"/>
    <w:rsid w:val="00A305D7"/>
    <w:rsid w:val="00A338F0"/>
    <w:rsid w:val="00A3448A"/>
    <w:rsid w:val="00A34DA9"/>
    <w:rsid w:val="00A36297"/>
    <w:rsid w:val="00A364A7"/>
    <w:rsid w:val="00A41E2B"/>
    <w:rsid w:val="00A42EB6"/>
    <w:rsid w:val="00A45B74"/>
    <w:rsid w:val="00A52835"/>
    <w:rsid w:val="00A52E1D"/>
    <w:rsid w:val="00A546E3"/>
    <w:rsid w:val="00A56CEA"/>
    <w:rsid w:val="00A5773C"/>
    <w:rsid w:val="00A5791E"/>
    <w:rsid w:val="00A608E7"/>
    <w:rsid w:val="00A61499"/>
    <w:rsid w:val="00A6233C"/>
    <w:rsid w:val="00A62A77"/>
    <w:rsid w:val="00A631AB"/>
    <w:rsid w:val="00A63483"/>
    <w:rsid w:val="00A63696"/>
    <w:rsid w:val="00A647D1"/>
    <w:rsid w:val="00A64F6A"/>
    <w:rsid w:val="00A6540A"/>
    <w:rsid w:val="00A657D7"/>
    <w:rsid w:val="00A660AC"/>
    <w:rsid w:val="00A67E6C"/>
    <w:rsid w:val="00A71B99"/>
    <w:rsid w:val="00A739D0"/>
    <w:rsid w:val="00A74D0B"/>
    <w:rsid w:val="00A75A9A"/>
    <w:rsid w:val="00A761D4"/>
    <w:rsid w:val="00A76DF2"/>
    <w:rsid w:val="00A77EC4"/>
    <w:rsid w:val="00A809C3"/>
    <w:rsid w:val="00A833D7"/>
    <w:rsid w:val="00A847F3"/>
    <w:rsid w:val="00A86334"/>
    <w:rsid w:val="00A87E25"/>
    <w:rsid w:val="00A92879"/>
    <w:rsid w:val="00A9442A"/>
    <w:rsid w:val="00AA016F"/>
    <w:rsid w:val="00AA1B07"/>
    <w:rsid w:val="00AA1ED6"/>
    <w:rsid w:val="00AA51D6"/>
    <w:rsid w:val="00AA7979"/>
    <w:rsid w:val="00AB0BC8"/>
    <w:rsid w:val="00AB11CA"/>
    <w:rsid w:val="00AB14D9"/>
    <w:rsid w:val="00AB1774"/>
    <w:rsid w:val="00AB1807"/>
    <w:rsid w:val="00AB2881"/>
    <w:rsid w:val="00AB44F9"/>
    <w:rsid w:val="00AB4AB8"/>
    <w:rsid w:val="00AB4CE5"/>
    <w:rsid w:val="00AB655E"/>
    <w:rsid w:val="00AB6E63"/>
    <w:rsid w:val="00AB6F80"/>
    <w:rsid w:val="00AC007F"/>
    <w:rsid w:val="00AC2ECD"/>
    <w:rsid w:val="00AC3119"/>
    <w:rsid w:val="00AC49FB"/>
    <w:rsid w:val="00AC5A10"/>
    <w:rsid w:val="00AC5BFE"/>
    <w:rsid w:val="00AC63EF"/>
    <w:rsid w:val="00AC68B3"/>
    <w:rsid w:val="00AC7690"/>
    <w:rsid w:val="00AD0AA3"/>
    <w:rsid w:val="00AD0F13"/>
    <w:rsid w:val="00AD273D"/>
    <w:rsid w:val="00AD2ED0"/>
    <w:rsid w:val="00AD3F94"/>
    <w:rsid w:val="00AD48A2"/>
    <w:rsid w:val="00AD4A5A"/>
    <w:rsid w:val="00AE1603"/>
    <w:rsid w:val="00AE27AC"/>
    <w:rsid w:val="00AE37A4"/>
    <w:rsid w:val="00AE3CFE"/>
    <w:rsid w:val="00AE40E0"/>
    <w:rsid w:val="00AE4224"/>
    <w:rsid w:val="00AE4DBA"/>
    <w:rsid w:val="00AE4F07"/>
    <w:rsid w:val="00AE7767"/>
    <w:rsid w:val="00AF1C5D"/>
    <w:rsid w:val="00AF2320"/>
    <w:rsid w:val="00AF350F"/>
    <w:rsid w:val="00AF42D7"/>
    <w:rsid w:val="00AF4A71"/>
    <w:rsid w:val="00AF79D1"/>
    <w:rsid w:val="00B006FE"/>
    <w:rsid w:val="00B007CB"/>
    <w:rsid w:val="00B01DF9"/>
    <w:rsid w:val="00B02AA9"/>
    <w:rsid w:val="00B02FA3"/>
    <w:rsid w:val="00B03075"/>
    <w:rsid w:val="00B03A1F"/>
    <w:rsid w:val="00B04B4C"/>
    <w:rsid w:val="00B05084"/>
    <w:rsid w:val="00B055FE"/>
    <w:rsid w:val="00B05B80"/>
    <w:rsid w:val="00B0614B"/>
    <w:rsid w:val="00B11B38"/>
    <w:rsid w:val="00B14947"/>
    <w:rsid w:val="00B157F9"/>
    <w:rsid w:val="00B17D9B"/>
    <w:rsid w:val="00B20256"/>
    <w:rsid w:val="00B20D09"/>
    <w:rsid w:val="00B24963"/>
    <w:rsid w:val="00B255E1"/>
    <w:rsid w:val="00B2763F"/>
    <w:rsid w:val="00B27AAC"/>
    <w:rsid w:val="00B30929"/>
    <w:rsid w:val="00B3122D"/>
    <w:rsid w:val="00B33918"/>
    <w:rsid w:val="00B33D7D"/>
    <w:rsid w:val="00B372AA"/>
    <w:rsid w:val="00B40445"/>
    <w:rsid w:val="00B409E0"/>
    <w:rsid w:val="00B41888"/>
    <w:rsid w:val="00B41FDF"/>
    <w:rsid w:val="00B42EBF"/>
    <w:rsid w:val="00B43B5F"/>
    <w:rsid w:val="00B4538E"/>
    <w:rsid w:val="00B45961"/>
    <w:rsid w:val="00B45A52"/>
    <w:rsid w:val="00B46175"/>
    <w:rsid w:val="00B4675A"/>
    <w:rsid w:val="00B46C01"/>
    <w:rsid w:val="00B5293A"/>
    <w:rsid w:val="00B548B7"/>
    <w:rsid w:val="00B55967"/>
    <w:rsid w:val="00B55B75"/>
    <w:rsid w:val="00B563F2"/>
    <w:rsid w:val="00B56AD7"/>
    <w:rsid w:val="00B639F5"/>
    <w:rsid w:val="00B63E62"/>
    <w:rsid w:val="00B664C7"/>
    <w:rsid w:val="00B713D8"/>
    <w:rsid w:val="00B73077"/>
    <w:rsid w:val="00B739F6"/>
    <w:rsid w:val="00B76097"/>
    <w:rsid w:val="00B776A8"/>
    <w:rsid w:val="00B779EB"/>
    <w:rsid w:val="00B80DE0"/>
    <w:rsid w:val="00B81A6C"/>
    <w:rsid w:val="00B82AFD"/>
    <w:rsid w:val="00B82F93"/>
    <w:rsid w:val="00B83BBA"/>
    <w:rsid w:val="00B857BA"/>
    <w:rsid w:val="00B85DE5"/>
    <w:rsid w:val="00B90F73"/>
    <w:rsid w:val="00B932C6"/>
    <w:rsid w:val="00B93B59"/>
    <w:rsid w:val="00B9406A"/>
    <w:rsid w:val="00B95BBF"/>
    <w:rsid w:val="00BA1E47"/>
    <w:rsid w:val="00BA2280"/>
    <w:rsid w:val="00BA2A08"/>
    <w:rsid w:val="00BA348A"/>
    <w:rsid w:val="00BA3630"/>
    <w:rsid w:val="00BA5499"/>
    <w:rsid w:val="00BA56D2"/>
    <w:rsid w:val="00BA5EAE"/>
    <w:rsid w:val="00BA76E0"/>
    <w:rsid w:val="00BA7AFF"/>
    <w:rsid w:val="00BB104A"/>
    <w:rsid w:val="00BB1C6C"/>
    <w:rsid w:val="00BB2A25"/>
    <w:rsid w:val="00BB45F1"/>
    <w:rsid w:val="00BB51E9"/>
    <w:rsid w:val="00BB6793"/>
    <w:rsid w:val="00BB6F59"/>
    <w:rsid w:val="00BC05BD"/>
    <w:rsid w:val="00BC0FDC"/>
    <w:rsid w:val="00BC28A0"/>
    <w:rsid w:val="00BC3053"/>
    <w:rsid w:val="00BC4D2E"/>
    <w:rsid w:val="00BC63D9"/>
    <w:rsid w:val="00BC73E3"/>
    <w:rsid w:val="00BD1B28"/>
    <w:rsid w:val="00BD3F19"/>
    <w:rsid w:val="00BD4038"/>
    <w:rsid w:val="00BD48AC"/>
    <w:rsid w:val="00BD5F1A"/>
    <w:rsid w:val="00BD5FDF"/>
    <w:rsid w:val="00BE1234"/>
    <w:rsid w:val="00BE2FA6"/>
    <w:rsid w:val="00BE333F"/>
    <w:rsid w:val="00BE3AB1"/>
    <w:rsid w:val="00BE7406"/>
    <w:rsid w:val="00BE7603"/>
    <w:rsid w:val="00BF1574"/>
    <w:rsid w:val="00BF3279"/>
    <w:rsid w:val="00BF3D1D"/>
    <w:rsid w:val="00BF3FE6"/>
    <w:rsid w:val="00BF48ED"/>
    <w:rsid w:val="00BF74C7"/>
    <w:rsid w:val="00BF74CE"/>
    <w:rsid w:val="00C008FD"/>
    <w:rsid w:val="00C015F1"/>
    <w:rsid w:val="00C01F33"/>
    <w:rsid w:val="00C02223"/>
    <w:rsid w:val="00C02CC6"/>
    <w:rsid w:val="00C040F7"/>
    <w:rsid w:val="00C044AB"/>
    <w:rsid w:val="00C0555F"/>
    <w:rsid w:val="00C05706"/>
    <w:rsid w:val="00C062A1"/>
    <w:rsid w:val="00C07377"/>
    <w:rsid w:val="00C07CC0"/>
    <w:rsid w:val="00C101B9"/>
    <w:rsid w:val="00C10478"/>
    <w:rsid w:val="00C1201F"/>
    <w:rsid w:val="00C12107"/>
    <w:rsid w:val="00C12398"/>
    <w:rsid w:val="00C12BA6"/>
    <w:rsid w:val="00C14D4B"/>
    <w:rsid w:val="00C154BB"/>
    <w:rsid w:val="00C1610B"/>
    <w:rsid w:val="00C16EF2"/>
    <w:rsid w:val="00C204D8"/>
    <w:rsid w:val="00C2079B"/>
    <w:rsid w:val="00C2188F"/>
    <w:rsid w:val="00C21FD2"/>
    <w:rsid w:val="00C222ED"/>
    <w:rsid w:val="00C279B5"/>
    <w:rsid w:val="00C27BD7"/>
    <w:rsid w:val="00C27C45"/>
    <w:rsid w:val="00C31050"/>
    <w:rsid w:val="00C3697D"/>
    <w:rsid w:val="00C3719D"/>
    <w:rsid w:val="00C37CB2"/>
    <w:rsid w:val="00C45C51"/>
    <w:rsid w:val="00C45E91"/>
    <w:rsid w:val="00C46C4E"/>
    <w:rsid w:val="00C470FF"/>
    <w:rsid w:val="00C473A5"/>
    <w:rsid w:val="00C528B2"/>
    <w:rsid w:val="00C52967"/>
    <w:rsid w:val="00C54995"/>
    <w:rsid w:val="00C54D41"/>
    <w:rsid w:val="00C56C45"/>
    <w:rsid w:val="00C60783"/>
    <w:rsid w:val="00C62395"/>
    <w:rsid w:val="00C63A22"/>
    <w:rsid w:val="00C64672"/>
    <w:rsid w:val="00C65518"/>
    <w:rsid w:val="00C66E35"/>
    <w:rsid w:val="00C70697"/>
    <w:rsid w:val="00C72093"/>
    <w:rsid w:val="00C72EF4"/>
    <w:rsid w:val="00C73E39"/>
    <w:rsid w:val="00C744FE"/>
    <w:rsid w:val="00C75D2F"/>
    <w:rsid w:val="00C767BE"/>
    <w:rsid w:val="00C76E3C"/>
    <w:rsid w:val="00C770D4"/>
    <w:rsid w:val="00C81568"/>
    <w:rsid w:val="00C82F9E"/>
    <w:rsid w:val="00C85310"/>
    <w:rsid w:val="00C87BC6"/>
    <w:rsid w:val="00C9027A"/>
    <w:rsid w:val="00C9068E"/>
    <w:rsid w:val="00C93814"/>
    <w:rsid w:val="00C93C4B"/>
    <w:rsid w:val="00C944AB"/>
    <w:rsid w:val="00C9546B"/>
    <w:rsid w:val="00C95B40"/>
    <w:rsid w:val="00C96489"/>
    <w:rsid w:val="00CA0F5D"/>
    <w:rsid w:val="00CA1ED8"/>
    <w:rsid w:val="00CA2AAA"/>
    <w:rsid w:val="00CA4EC7"/>
    <w:rsid w:val="00CB1F63"/>
    <w:rsid w:val="00CB3EA7"/>
    <w:rsid w:val="00CB7170"/>
    <w:rsid w:val="00CC040E"/>
    <w:rsid w:val="00CC0CFB"/>
    <w:rsid w:val="00CC111F"/>
    <w:rsid w:val="00CC1469"/>
    <w:rsid w:val="00CC2011"/>
    <w:rsid w:val="00CC3EA0"/>
    <w:rsid w:val="00CC3FC6"/>
    <w:rsid w:val="00CC5044"/>
    <w:rsid w:val="00CC56D1"/>
    <w:rsid w:val="00CC581B"/>
    <w:rsid w:val="00CC5E6B"/>
    <w:rsid w:val="00CC636F"/>
    <w:rsid w:val="00CC7B45"/>
    <w:rsid w:val="00CD1188"/>
    <w:rsid w:val="00CD2ED1"/>
    <w:rsid w:val="00CD337B"/>
    <w:rsid w:val="00CE0424"/>
    <w:rsid w:val="00CE7561"/>
    <w:rsid w:val="00CF1354"/>
    <w:rsid w:val="00CF3B1F"/>
    <w:rsid w:val="00CF3BF6"/>
    <w:rsid w:val="00CF625B"/>
    <w:rsid w:val="00CF687E"/>
    <w:rsid w:val="00CF7EC5"/>
    <w:rsid w:val="00D011D8"/>
    <w:rsid w:val="00D026F0"/>
    <w:rsid w:val="00D0349B"/>
    <w:rsid w:val="00D0362F"/>
    <w:rsid w:val="00D05755"/>
    <w:rsid w:val="00D06359"/>
    <w:rsid w:val="00D10249"/>
    <w:rsid w:val="00D102A9"/>
    <w:rsid w:val="00D115C3"/>
    <w:rsid w:val="00D11897"/>
    <w:rsid w:val="00D13135"/>
    <w:rsid w:val="00D13E4E"/>
    <w:rsid w:val="00D16D9E"/>
    <w:rsid w:val="00D21632"/>
    <w:rsid w:val="00D239A7"/>
    <w:rsid w:val="00D23A04"/>
    <w:rsid w:val="00D23F47"/>
    <w:rsid w:val="00D2511A"/>
    <w:rsid w:val="00D255CF"/>
    <w:rsid w:val="00D26205"/>
    <w:rsid w:val="00D32067"/>
    <w:rsid w:val="00D33E28"/>
    <w:rsid w:val="00D35B16"/>
    <w:rsid w:val="00D35DFF"/>
    <w:rsid w:val="00D36E71"/>
    <w:rsid w:val="00D37D87"/>
    <w:rsid w:val="00D4032A"/>
    <w:rsid w:val="00D40B33"/>
    <w:rsid w:val="00D41223"/>
    <w:rsid w:val="00D42028"/>
    <w:rsid w:val="00D4318F"/>
    <w:rsid w:val="00D438BF"/>
    <w:rsid w:val="00D43A5D"/>
    <w:rsid w:val="00D440F8"/>
    <w:rsid w:val="00D4587B"/>
    <w:rsid w:val="00D46613"/>
    <w:rsid w:val="00D478EB"/>
    <w:rsid w:val="00D5130F"/>
    <w:rsid w:val="00D546FF"/>
    <w:rsid w:val="00D55AD5"/>
    <w:rsid w:val="00D576CA"/>
    <w:rsid w:val="00D60F9C"/>
    <w:rsid w:val="00D61AF5"/>
    <w:rsid w:val="00D6236A"/>
    <w:rsid w:val="00D652B5"/>
    <w:rsid w:val="00D65A95"/>
    <w:rsid w:val="00D66155"/>
    <w:rsid w:val="00D67762"/>
    <w:rsid w:val="00D708B0"/>
    <w:rsid w:val="00D727B3"/>
    <w:rsid w:val="00D75836"/>
    <w:rsid w:val="00D77B1D"/>
    <w:rsid w:val="00D8021F"/>
    <w:rsid w:val="00D80383"/>
    <w:rsid w:val="00D823C6"/>
    <w:rsid w:val="00D8327F"/>
    <w:rsid w:val="00D83B64"/>
    <w:rsid w:val="00D850CD"/>
    <w:rsid w:val="00D86B27"/>
    <w:rsid w:val="00D86CA3"/>
    <w:rsid w:val="00D86FF4"/>
    <w:rsid w:val="00D871CE"/>
    <w:rsid w:val="00D9078D"/>
    <w:rsid w:val="00D90C93"/>
    <w:rsid w:val="00D9196D"/>
    <w:rsid w:val="00D9251B"/>
    <w:rsid w:val="00D92982"/>
    <w:rsid w:val="00D92C6E"/>
    <w:rsid w:val="00D9341A"/>
    <w:rsid w:val="00D972FD"/>
    <w:rsid w:val="00DA2BFF"/>
    <w:rsid w:val="00DA305E"/>
    <w:rsid w:val="00DA3D3A"/>
    <w:rsid w:val="00DA5417"/>
    <w:rsid w:val="00DA56E8"/>
    <w:rsid w:val="00DA595B"/>
    <w:rsid w:val="00DA5E7D"/>
    <w:rsid w:val="00DB0A9F"/>
    <w:rsid w:val="00DB377D"/>
    <w:rsid w:val="00DB3904"/>
    <w:rsid w:val="00DB3C73"/>
    <w:rsid w:val="00DB6B30"/>
    <w:rsid w:val="00DC2D36"/>
    <w:rsid w:val="00DC4504"/>
    <w:rsid w:val="00DC53EF"/>
    <w:rsid w:val="00DD115D"/>
    <w:rsid w:val="00DD12B2"/>
    <w:rsid w:val="00DD3222"/>
    <w:rsid w:val="00DD3BD3"/>
    <w:rsid w:val="00DD4828"/>
    <w:rsid w:val="00DD6863"/>
    <w:rsid w:val="00DD722D"/>
    <w:rsid w:val="00DE12C5"/>
    <w:rsid w:val="00DE18D4"/>
    <w:rsid w:val="00DE1D49"/>
    <w:rsid w:val="00DE2DFA"/>
    <w:rsid w:val="00DE31E1"/>
    <w:rsid w:val="00DE35AD"/>
    <w:rsid w:val="00DE5608"/>
    <w:rsid w:val="00DE58D0"/>
    <w:rsid w:val="00DE654F"/>
    <w:rsid w:val="00DE71A3"/>
    <w:rsid w:val="00DF0B6E"/>
    <w:rsid w:val="00DF15E0"/>
    <w:rsid w:val="00DF37A0"/>
    <w:rsid w:val="00DF4CC5"/>
    <w:rsid w:val="00DF60BC"/>
    <w:rsid w:val="00DF7B93"/>
    <w:rsid w:val="00E0058D"/>
    <w:rsid w:val="00E0546C"/>
    <w:rsid w:val="00E10A22"/>
    <w:rsid w:val="00E110E7"/>
    <w:rsid w:val="00E11B20"/>
    <w:rsid w:val="00E17FA2"/>
    <w:rsid w:val="00E20E36"/>
    <w:rsid w:val="00E22330"/>
    <w:rsid w:val="00E23C80"/>
    <w:rsid w:val="00E243CD"/>
    <w:rsid w:val="00E26042"/>
    <w:rsid w:val="00E30B5A"/>
    <w:rsid w:val="00E3123D"/>
    <w:rsid w:val="00E31461"/>
    <w:rsid w:val="00E31D43"/>
    <w:rsid w:val="00E32608"/>
    <w:rsid w:val="00E33E9F"/>
    <w:rsid w:val="00E34188"/>
    <w:rsid w:val="00E34B6E"/>
    <w:rsid w:val="00E352DB"/>
    <w:rsid w:val="00E35559"/>
    <w:rsid w:val="00E3723A"/>
    <w:rsid w:val="00E37860"/>
    <w:rsid w:val="00E408EA"/>
    <w:rsid w:val="00E431CB"/>
    <w:rsid w:val="00E446F1"/>
    <w:rsid w:val="00E44B96"/>
    <w:rsid w:val="00E44D9E"/>
    <w:rsid w:val="00E46886"/>
    <w:rsid w:val="00E46F58"/>
    <w:rsid w:val="00E47AEF"/>
    <w:rsid w:val="00E507FB"/>
    <w:rsid w:val="00E51E6C"/>
    <w:rsid w:val="00E53B75"/>
    <w:rsid w:val="00E54E3B"/>
    <w:rsid w:val="00E56FC7"/>
    <w:rsid w:val="00E57084"/>
    <w:rsid w:val="00E57565"/>
    <w:rsid w:val="00E611C2"/>
    <w:rsid w:val="00E618C4"/>
    <w:rsid w:val="00E63838"/>
    <w:rsid w:val="00E64434"/>
    <w:rsid w:val="00E66076"/>
    <w:rsid w:val="00E6692D"/>
    <w:rsid w:val="00E67C51"/>
    <w:rsid w:val="00E72EFC"/>
    <w:rsid w:val="00E734D8"/>
    <w:rsid w:val="00E7437E"/>
    <w:rsid w:val="00E758EC"/>
    <w:rsid w:val="00E75F59"/>
    <w:rsid w:val="00E7640C"/>
    <w:rsid w:val="00E8234C"/>
    <w:rsid w:val="00E82B2C"/>
    <w:rsid w:val="00E83298"/>
    <w:rsid w:val="00E83AA9"/>
    <w:rsid w:val="00E84941"/>
    <w:rsid w:val="00E84B7B"/>
    <w:rsid w:val="00E85928"/>
    <w:rsid w:val="00E87822"/>
    <w:rsid w:val="00E90395"/>
    <w:rsid w:val="00E90E49"/>
    <w:rsid w:val="00E917F9"/>
    <w:rsid w:val="00E9291C"/>
    <w:rsid w:val="00E93287"/>
    <w:rsid w:val="00E93FFE"/>
    <w:rsid w:val="00E94F8A"/>
    <w:rsid w:val="00E950F1"/>
    <w:rsid w:val="00E974D9"/>
    <w:rsid w:val="00EA2514"/>
    <w:rsid w:val="00EA2F2B"/>
    <w:rsid w:val="00EA348E"/>
    <w:rsid w:val="00EA3E73"/>
    <w:rsid w:val="00EA7A41"/>
    <w:rsid w:val="00EA7E43"/>
    <w:rsid w:val="00EB077B"/>
    <w:rsid w:val="00EB3FB8"/>
    <w:rsid w:val="00EB4A61"/>
    <w:rsid w:val="00EB4EA2"/>
    <w:rsid w:val="00EC24D5"/>
    <w:rsid w:val="00EC27C6"/>
    <w:rsid w:val="00EC4207"/>
    <w:rsid w:val="00EC5653"/>
    <w:rsid w:val="00EC71CE"/>
    <w:rsid w:val="00EC74AE"/>
    <w:rsid w:val="00ED1006"/>
    <w:rsid w:val="00ED1988"/>
    <w:rsid w:val="00ED26B8"/>
    <w:rsid w:val="00ED47B5"/>
    <w:rsid w:val="00ED49F5"/>
    <w:rsid w:val="00EE33CD"/>
    <w:rsid w:val="00EE68F7"/>
    <w:rsid w:val="00EE6934"/>
    <w:rsid w:val="00EF064A"/>
    <w:rsid w:val="00EF18FE"/>
    <w:rsid w:val="00EF5787"/>
    <w:rsid w:val="00EF5C79"/>
    <w:rsid w:val="00EF60D0"/>
    <w:rsid w:val="00F010E9"/>
    <w:rsid w:val="00F02921"/>
    <w:rsid w:val="00F0528D"/>
    <w:rsid w:val="00F05B9E"/>
    <w:rsid w:val="00F06C67"/>
    <w:rsid w:val="00F06DFD"/>
    <w:rsid w:val="00F071D1"/>
    <w:rsid w:val="00F07533"/>
    <w:rsid w:val="00F07C59"/>
    <w:rsid w:val="00F10629"/>
    <w:rsid w:val="00F1068F"/>
    <w:rsid w:val="00F10A86"/>
    <w:rsid w:val="00F15FA5"/>
    <w:rsid w:val="00F20986"/>
    <w:rsid w:val="00F209B7"/>
    <w:rsid w:val="00F20D02"/>
    <w:rsid w:val="00F224D7"/>
    <w:rsid w:val="00F2376F"/>
    <w:rsid w:val="00F23F72"/>
    <w:rsid w:val="00F243D8"/>
    <w:rsid w:val="00F24AC5"/>
    <w:rsid w:val="00F30828"/>
    <w:rsid w:val="00F313D6"/>
    <w:rsid w:val="00F325B2"/>
    <w:rsid w:val="00F35876"/>
    <w:rsid w:val="00F40271"/>
    <w:rsid w:val="00F40F0C"/>
    <w:rsid w:val="00F417D1"/>
    <w:rsid w:val="00F428AF"/>
    <w:rsid w:val="00F4587F"/>
    <w:rsid w:val="00F4766C"/>
    <w:rsid w:val="00F5060E"/>
    <w:rsid w:val="00F507D1"/>
    <w:rsid w:val="00F519CE"/>
    <w:rsid w:val="00F51ADA"/>
    <w:rsid w:val="00F51CEF"/>
    <w:rsid w:val="00F53FDA"/>
    <w:rsid w:val="00F5624F"/>
    <w:rsid w:val="00F60203"/>
    <w:rsid w:val="00F607C5"/>
    <w:rsid w:val="00F60DEA"/>
    <w:rsid w:val="00F6302A"/>
    <w:rsid w:val="00F6332D"/>
    <w:rsid w:val="00F638C4"/>
    <w:rsid w:val="00F63950"/>
    <w:rsid w:val="00F63F13"/>
    <w:rsid w:val="00F63F22"/>
    <w:rsid w:val="00F64C2B"/>
    <w:rsid w:val="00F651BE"/>
    <w:rsid w:val="00F6542E"/>
    <w:rsid w:val="00F666D2"/>
    <w:rsid w:val="00F67556"/>
    <w:rsid w:val="00F67F53"/>
    <w:rsid w:val="00F70377"/>
    <w:rsid w:val="00F703BE"/>
    <w:rsid w:val="00F713BB"/>
    <w:rsid w:val="00F71F69"/>
    <w:rsid w:val="00F72B72"/>
    <w:rsid w:val="00F73329"/>
    <w:rsid w:val="00F7407A"/>
    <w:rsid w:val="00F74BB9"/>
    <w:rsid w:val="00F74F0E"/>
    <w:rsid w:val="00F75582"/>
    <w:rsid w:val="00F76EFA"/>
    <w:rsid w:val="00F77E9D"/>
    <w:rsid w:val="00F8000F"/>
    <w:rsid w:val="00F804BE"/>
    <w:rsid w:val="00F817CE"/>
    <w:rsid w:val="00F81BBF"/>
    <w:rsid w:val="00F8456C"/>
    <w:rsid w:val="00F859D8"/>
    <w:rsid w:val="00F860BD"/>
    <w:rsid w:val="00F868F5"/>
    <w:rsid w:val="00F86CEB"/>
    <w:rsid w:val="00F872A6"/>
    <w:rsid w:val="00F87DEE"/>
    <w:rsid w:val="00F9056A"/>
    <w:rsid w:val="00F90F8D"/>
    <w:rsid w:val="00F91916"/>
    <w:rsid w:val="00F92039"/>
    <w:rsid w:val="00F92782"/>
    <w:rsid w:val="00F9350B"/>
    <w:rsid w:val="00F93AA9"/>
    <w:rsid w:val="00F9563A"/>
    <w:rsid w:val="00F96985"/>
    <w:rsid w:val="00F97838"/>
    <w:rsid w:val="00F97BEE"/>
    <w:rsid w:val="00FA2BB3"/>
    <w:rsid w:val="00FA3272"/>
    <w:rsid w:val="00FA487B"/>
    <w:rsid w:val="00FA4A5E"/>
    <w:rsid w:val="00FA61B8"/>
    <w:rsid w:val="00FB4C80"/>
    <w:rsid w:val="00FB6896"/>
    <w:rsid w:val="00FB6A6A"/>
    <w:rsid w:val="00FB729E"/>
    <w:rsid w:val="00FC1106"/>
    <w:rsid w:val="00FC199F"/>
    <w:rsid w:val="00FC3F3E"/>
    <w:rsid w:val="00FC4226"/>
    <w:rsid w:val="00FC5496"/>
    <w:rsid w:val="00FC54CF"/>
    <w:rsid w:val="00FC569B"/>
    <w:rsid w:val="00FC5F6F"/>
    <w:rsid w:val="00FC650E"/>
    <w:rsid w:val="00FC65B8"/>
    <w:rsid w:val="00FC7429"/>
    <w:rsid w:val="00FC7F1C"/>
    <w:rsid w:val="00FD07F6"/>
    <w:rsid w:val="00FD0C28"/>
    <w:rsid w:val="00FD0E13"/>
    <w:rsid w:val="00FD1284"/>
    <w:rsid w:val="00FD1DE5"/>
    <w:rsid w:val="00FD1EC8"/>
    <w:rsid w:val="00FD47ED"/>
    <w:rsid w:val="00FD74DB"/>
    <w:rsid w:val="00FD7660"/>
    <w:rsid w:val="00FE0655"/>
    <w:rsid w:val="00FE15B8"/>
    <w:rsid w:val="00FE1B7F"/>
    <w:rsid w:val="00FE2365"/>
    <w:rsid w:val="00FE37D7"/>
    <w:rsid w:val="00FE4C3A"/>
    <w:rsid w:val="00FE4C7B"/>
    <w:rsid w:val="00FE4F42"/>
    <w:rsid w:val="00FE7336"/>
    <w:rsid w:val="00FE787C"/>
    <w:rsid w:val="00FF45A5"/>
    <w:rsid w:val="00FF5C91"/>
    <w:rsid w:val="00FF67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20.wmf"/><Relationship Id="rId21" Type="http://schemas.openxmlformats.org/officeDocument/2006/relationships/image" Target="media/image9.emf"/><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oleObject" Target="embeddings/oleObject5.bin"/><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17.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oleObject" Target="embeddings/oleObject7.bin"/><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6.bin"/><Relationship Id="rId35" Type="http://schemas.openxmlformats.org/officeDocument/2006/relationships/image" Target="media/image16.wmf"/><Relationship Id="rId43" Type="http://schemas.openxmlformats.org/officeDocument/2006/relationships/image" Target="media/image24.png"/><Relationship Id="rId48" Type="http://schemas.openxmlformats.org/officeDocument/2006/relationships/fontTable" Target="fontTable.xml"/><Relationship Id="rId8"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E87BC6-ED50-4CAE-9688-32A2F24A8548}">
  <ds:schemaRefs>
    <ds:schemaRef ds:uri="Microsoft.SharePoint.Taxonomy.ContentTypeSync"/>
  </ds:schemaRefs>
</ds:datastoreItem>
</file>

<file path=customXml/itemProps2.xml><?xml version="1.0" encoding="utf-8"?>
<ds:datastoreItem xmlns:ds="http://schemas.openxmlformats.org/officeDocument/2006/customXml" ds:itemID="{1F443DEC-35CD-49B4-9C12-9A740522AD56}"/>
</file>

<file path=customXml/itemProps3.xml><?xml version="1.0" encoding="utf-8"?>
<ds:datastoreItem xmlns:ds="http://schemas.openxmlformats.org/officeDocument/2006/customXml" ds:itemID="{E3FDA403-7282-4EE7-8A51-51B836E2F529}">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17</Pages>
  <Words>7800</Words>
  <Characters>40504</Characters>
  <Application>Microsoft Office Word</Application>
  <DocSecurity>0</DocSecurity>
  <Lines>337</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228</cp:revision>
  <cp:lastPrinted>2008-01-31T07:09:00Z</cp:lastPrinted>
  <dcterms:created xsi:type="dcterms:W3CDTF">2020-08-29T07:51:00Z</dcterms:created>
  <dcterms:modified xsi:type="dcterms:W3CDTF">2021-04-06T20:49:00Z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e4a58fd7-a092-4e0d-8982-1eb94f8639e8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5NUHHDQN7SK2-1476151046-430098</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https://ericsson.sharepoint.com/sites/star/_layouts/15/DocIdRedir.aspx?ID=5NUHHDQN7SK2-1476151046-430098, 5NUHHDQN7SK2-1476151046-430098</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ies>
</file>